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EE656" w14:textId="77777777" w:rsidR="00B54EFE" w:rsidRPr="00B54EFE" w:rsidRDefault="00B54EFE" w:rsidP="00B54EFE">
      <w:pPr>
        <w:rPr>
          <w:rFonts w:cs="Times New Roman"/>
        </w:rPr>
      </w:pPr>
      <w:r w:rsidRPr="00B54EFE">
        <w:rPr>
          <w:rFonts w:cs="Times New Roman"/>
        </w:rPr>
        <w:t>GLADIATORS AT ROMAN COLCHESTER: RE-INTERPRETING THE COLCHESTER VASE</w:t>
      </w:r>
    </w:p>
    <w:p w14:paraId="1EE75892" w14:textId="0B87A8AC" w:rsidR="00B54EFE" w:rsidRDefault="00B54EFE" w:rsidP="00B54EFE">
      <w:pPr>
        <w:rPr>
          <w:rFonts w:cs="Times New Roman"/>
          <w:iCs/>
        </w:rPr>
      </w:pPr>
    </w:p>
    <w:p w14:paraId="6E5E8F98" w14:textId="77777777" w:rsidR="00B54EFE" w:rsidRDefault="00B54EFE" w:rsidP="00B54EFE">
      <w:pPr>
        <w:rPr>
          <w:rFonts w:cs="Times New Roman"/>
          <w:iCs/>
        </w:rPr>
      </w:pPr>
    </w:p>
    <w:p w14:paraId="2C3D9F06" w14:textId="2B6FF457" w:rsidR="00B54EFE" w:rsidRDefault="00B54EFE" w:rsidP="00B54EFE">
      <w:pPr>
        <w:rPr>
          <w:rFonts w:cs="Times New Roman"/>
          <w:iCs/>
        </w:rPr>
      </w:pPr>
      <w:r>
        <w:rPr>
          <w:rFonts w:cs="Times New Roman"/>
          <w:iCs/>
        </w:rPr>
        <w:t>SUPPLEMENTARY MATERIAL: THE CREMATED REMAINS</w:t>
      </w:r>
    </w:p>
    <w:p w14:paraId="34637308" w14:textId="77777777" w:rsidR="005E74EA" w:rsidRDefault="005E74EA" w:rsidP="005E74EA">
      <w:pPr>
        <w:pStyle w:val="Standard"/>
      </w:pPr>
      <w:r>
        <w:rPr>
          <w:rFonts w:cs="Times New Roman"/>
          <w:i/>
          <w:iCs/>
        </w:rPr>
        <w:t>by</w:t>
      </w:r>
      <w:r>
        <w:rPr>
          <w:rFonts w:cs="Times New Roman"/>
        </w:rPr>
        <w:t xml:space="preserve"> Emily Carroll</w:t>
      </w:r>
    </w:p>
    <w:p w14:paraId="530A75AE" w14:textId="3CB7B481" w:rsidR="00B54EFE" w:rsidRDefault="00B54EFE" w:rsidP="00B54EFE">
      <w:pPr>
        <w:rPr>
          <w:rFonts w:cs="Times New Roman"/>
          <w:iCs/>
        </w:rPr>
      </w:pPr>
    </w:p>
    <w:p w14:paraId="6E947D1F" w14:textId="77777777" w:rsidR="00B54EFE" w:rsidRDefault="00B54EFE" w:rsidP="00B54EFE">
      <w:pPr>
        <w:rPr>
          <w:rFonts w:cs="Times New Roman"/>
          <w:iCs/>
        </w:rPr>
      </w:pPr>
    </w:p>
    <w:p w14:paraId="53517F82" w14:textId="7CCF543A" w:rsidR="00B54EFE" w:rsidRPr="00DF537C" w:rsidRDefault="00B54EFE" w:rsidP="00B54EFE">
      <w:pPr>
        <w:rPr>
          <w:rFonts w:cs="Times New Roman"/>
          <w:iCs/>
        </w:rPr>
      </w:pPr>
      <w:r w:rsidRPr="00DF537C">
        <w:rPr>
          <w:rFonts w:cs="Times New Roman"/>
          <w:iCs/>
        </w:rPr>
        <w:t xml:space="preserve">This appendix provides </w:t>
      </w:r>
      <w:r w:rsidR="00797922">
        <w:rPr>
          <w:rFonts w:cs="Times New Roman"/>
          <w:iCs/>
        </w:rPr>
        <w:t xml:space="preserve">further </w:t>
      </w:r>
      <w:r w:rsidRPr="00DF537C">
        <w:rPr>
          <w:rFonts w:cs="Times New Roman"/>
          <w:iCs/>
        </w:rPr>
        <w:t xml:space="preserve">details </w:t>
      </w:r>
      <w:r>
        <w:rPr>
          <w:rFonts w:cs="Times New Roman"/>
          <w:iCs/>
        </w:rPr>
        <w:t>of the analysis of the cremated remains associated with the Colchester Vase. This appendix</w:t>
      </w:r>
      <w:r w:rsidRPr="00DF537C">
        <w:rPr>
          <w:rFonts w:cs="Times New Roman"/>
          <w:iCs/>
        </w:rPr>
        <w:t xml:space="preserve"> is intended to complement the printed text but in in places there is some limited overlap with the latter to maintain </w:t>
      </w:r>
      <w:r>
        <w:rPr>
          <w:rFonts w:cs="Times New Roman"/>
          <w:iCs/>
        </w:rPr>
        <w:t xml:space="preserve">its </w:t>
      </w:r>
      <w:r w:rsidRPr="00DF537C">
        <w:rPr>
          <w:rFonts w:cs="Times New Roman"/>
          <w:iCs/>
        </w:rPr>
        <w:t xml:space="preserve">coherence. </w:t>
      </w:r>
    </w:p>
    <w:p w14:paraId="7B34EEFB" w14:textId="77777777" w:rsidR="00FC7958" w:rsidRDefault="00FC7958" w:rsidP="00FC7958">
      <w:pPr>
        <w:rPr>
          <w:rFonts w:cs="Times New Roman"/>
        </w:rPr>
      </w:pPr>
    </w:p>
    <w:p w14:paraId="38C10BD2" w14:textId="182ECE28" w:rsidR="00B54EFE" w:rsidRPr="00142742" w:rsidRDefault="00FC7958" w:rsidP="00FC7958">
      <w:bookmarkStart w:id="0" w:name="_Hlk102206590"/>
      <w:r>
        <w:t xml:space="preserve">The cremated remains associated with the Colchester Vase were analysed as part of the </w:t>
      </w:r>
      <w:r w:rsidRPr="00D62D64">
        <w:rPr>
          <w:i/>
          <w:iCs/>
        </w:rPr>
        <w:t>Decoding the Dead</w:t>
      </w:r>
      <w:r>
        <w:t xml:space="preserve"> project, alongside 30 other antiquarian Roman cremations.</w:t>
      </w:r>
      <w:bookmarkEnd w:id="0"/>
      <w:r w:rsidR="00B54EFE">
        <w:rPr>
          <w:rStyle w:val="EndnoteReference"/>
        </w:rPr>
        <w:endnoteReference w:id="1"/>
      </w:r>
      <w:r w:rsidR="00B54EFE">
        <w:t xml:space="preserve"> This was the first time modern osteoarchaeological analysis had been </w:t>
      </w:r>
      <w:r w:rsidR="00B54EFE" w:rsidRPr="00853750">
        <w:rPr>
          <w:rFonts w:cs="Times New Roman"/>
        </w:rPr>
        <w:t>conducted for any of the remains. Cremated human remains from archaeological contexts have been largely understudied, and often overshadowed by other funerary practices, specifically in</w:t>
      </w:r>
      <w:r w:rsidR="00B54EFE">
        <w:t>humations.</w:t>
      </w:r>
      <w:r w:rsidR="00B54EFE">
        <w:rPr>
          <w:rStyle w:val="EndnoteReference"/>
        </w:rPr>
        <w:endnoteReference w:id="2"/>
      </w:r>
      <w:r w:rsidR="00B54EFE">
        <w:t xml:space="preserve"> Despite being the preferred funerary practice from the first century B.C. to the late second/early third century A.D. in Roman Britain, cremation deposits in the past have been treated as secondary sources of archaeological evidence.</w:t>
      </w:r>
      <w:r w:rsidR="00B54EFE">
        <w:rPr>
          <w:rStyle w:val="EndnoteReference"/>
        </w:rPr>
        <w:endnoteReference w:id="3"/>
      </w:r>
      <w:r w:rsidR="00B54EFE">
        <w:t xml:space="preserve"> It is only within the last three decades, coinciding with the methodological advances made in archaeological science, that the full potential of these deposits has been explored in detail, overturning previous misconceptions. </w:t>
      </w:r>
    </w:p>
    <w:p w14:paraId="60EF3BD9" w14:textId="77777777" w:rsidR="00B54EFE" w:rsidRDefault="00B54EFE" w:rsidP="00FC7958">
      <w:pPr>
        <w:rPr>
          <w:b/>
          <w:bCs/>
        </w:rPr>
      </w:pPr>
    </w:p>
    <w:p w14:paraId="54D7D563" w14:textId="77777777" w:rsidR="00B54EFE" w:rsidRPr="000814CB" w:rsidRDefault="00B54EFE" w:rsidP="00FC7958">
      <w:pPr>
        <w:rPr>
          <w:b/>
          <w:bCs/>
        </w:rPr>
      </w:pPr>
      <w:r w:rsidRPr="000814CB">
        <w:rPr>
          <w:b/>
          <w:bCs/>
        </w:rPr>
        <w:t>Methodology</w:t>
      </w:r>
    </w:p>
    <w:p w14:paraId="772223D5" w14:textId="77777777" w:rsidR="00B54EFE" w:rsidRDefault="00B54EFE" w:rsidP="00FC7958"/>
    <w:p w14:paraId="73C59FA8" w14:textId="080125C0" w:rsidR="00B54EFE" w:rsidRDefault="00B54EFE" w:rsidP="00FC7958">
      <w:r>
        <w:t>The osteological analysis was conducted according to the Standards for Recording Human Remains, BABAO.</w:t>
      </w:r>
      <w:r>
        <w:rPr>
          <w:rStyle w:val="EndnoteReference"/>
        </w:rPr>
        <w:endnoteReference w:id="4"/>
      </w:r>
      <w:r>
        <w:t xml:space="preserve"> All human bones were handled in accordance with the British Association for Biological Anthropology and Osteoarchaeology code of ethics and code of practice.</w:t>
      </w:r>
      <w:r>
        <w:rPr>
          <w:rStyle w:val="EndnoteReference"/>
        </w:rPr>
        <w:endnoteReference w:id="5"/>
      </w:r>
      <w:r>
        <w:t xml:space="preserve"> Permission to examine the cremation assemblages and extract samples for isotopic analysis was granted by Colchester Museums.</w:t>
      </w:r>
    </w:p>
    <w:p w14:paraId="7F8AE4D7" w14:textId="77777777" w:rsidR="00B54EFE" w:rsidRDefault="00B54EFE" w:rsidP="00FC7958">
      <w:pPr>
        <w:rPr>
          <w:b/>
          <w:bCs/>
        </w:rPr>
      </w:pPr>
    </w:p>
    <w:p w14:paraId="0E7A1334" w14:textId="77777777" w:rsidR="00B54EFE" w:rsidRPr="000814CB" w:rsidRDefault="00B54EFE" w:rsidP="00FC7958">
      <w:pPr>
        <w:rPr>
          <w:b/>
          <w:bCs/>
        </w:rPr>
      </w:pPr>
      <w:r w:rsidRPr="000814CB">
        <w:rPr>
          <w:b/>
          <w:bCs/>
        </w:rPr>
        <w:t>Results</w:t>
      </w:r>
    </w:p>
    <w:p w14:paraId="7C3F788B" w14:textId="77777777" w:rsidR="00B54EFE" w:rsidRDefault="00B54EFE" w:rsidP="00FC7958">
      <w:pPr>
        <w:jc w:val="both"/>
      </w:pPr>
      <w:bookmarkStart w:id="1" w:name="_Hlk89273259"/>
    </w:p>
    <w:p w14:paraId="2A0077B7" w14:textId="6FC9BA2B" w:rsidR="00B54EFE" w:rsidRDefault="00B54EFE" w:rsidP="00FC7958">
      <w:r>
        <w:t xml:space="preserve">Overall, the cremation deposit of the Colchester Vase was sufficiently well-preserved to enable 51% of the burned bone recovered from the vessel to be identified to skeletal site (439.8g of the 856.8g in total). </w:t>
      </w:r>
      <w:proofErr w:type="gramStart"/>
      <w:r>
        <w:t>With regard to</w:t>
      </w:r>
      <w:proofErr w:type="gramEnd"/>
      <w:r>
        <w:t xml:space="preserve"> fragmentation, the majority of fragments (</w:t>
      </w:r>
      <w:bookmarkStart w:id="2" w:name="_Hlk89369457"/>
      <w:r>
        <w:t xml:space="preserve">441.1g, 51%) </w:t>
      </w:r>
      <w:bookmarkEnd w:id="2"/>
      <w:r>
        <w:t>measured &gt;10mm in size, while 27% (230.7g) measured &gt;5mm in size, and 22% (184.5g) measured from &gt;2mm</w:t>
      </w:r>
      <w:r w:rsidRPr="00D668A0">
        <w:t>.</w:t>
      </w:r>
      <w:r>
        <w:t xml:space="preserve"> The entire skeleton was well represented with </w:t>
      </w:r>
      <w:proofErr w:type="gramStart"/>
      <w:r>
        <w:t>the majority of</w:t>
      </w:r>
      <w:proofErr w:type="gramEnd"/>
      <w:r>
        <w:t xml:space="preserve"> identified bone (45%, 199.2g) derived from the skull. This is slightly unexpected because the densest bones in the body, the femur and tibia, form part of the appendicular skeleton and usually dominate skeletal representation. The remainder of identified material came from the appendicular (38%, 167.1g) and axial (17%, 73.5g) skeleton. One individual was identified in this cremation deposit. Demographic assessment suggested that their osteological sex is male and that they were aged over 40 years at time of death. </w:t>
      </w:r>
    </w:p>
    <w:p w14:paraId="6EFD6DD6" w14:textId="77777777" w:rsidR="00B54EFE" w:rsidRDefault="00B54EFE" w:rsidP="00FC7958">
      <w:pPr>
        <w:jc w:val="both"/>
      </w:pPr>
    </w:p>
    <w:p w14:paraId="0B6B9A17" w14:textId="7036EED4" w:rsidR="00B54EFE" w:rsidRDefault="00B54EFE" w:rsidP="00FC7958">
      <w:proofErr w:type="gramStart"/>
      <w:r>
        <w:t>With regard to</w:t>
      </w:r>
      <w:proofErr w:type="gramEnd"/>
      <w:r>
        <w:t xml:space="preserve"> pathology, active periostitis was identified on the proximal femur</w:t>
      </w:r>
      <w:r>
        <w:rPr>
          <w:color w:val="FF0000"/>
        </w:rPr>
        <w:t xml:space="preserve"> </w:t>
      </w:r>
      <w:r w:rsidRPr="006F1BAC">
        <w:t xml:space="preserve">suggesting active inflammation of </w:t>
      </w:r>
      <w:r>
        <w:t xml:space="preserve">the </w:t>
      </w:r>
      <w:r w:rsidRPr="006F1BAC">
        <w:t>bone</w:t>
      </w:r>
      <w:r>
        <w:t>’</w:t>
      </w:r>
      <w:r w:rsidRPr="006F1BAC">
        <w:t>s periosteum at the time of death</w:t>
      </w:r>
      <w:r>
        <w:t xml:space="preserve">. This lesion is demonstrative of </w:t>
      </w:r>
      <w:r w:rsidRPr="00262819">
        <w:t>non-specific infection</w:t>
      </w:r>
      <w:r>
        <w:t>, strain or trauma</w:t>
      </w:r>
      <w:r w:rsidRPr="006F1BAC">
        <w:t xml:space="preserve">. </w:t>
      </w:r>
      <w:r>
        <w:t>In addition, six parietal fragments from the skull showed signs of porosity and pitting, associated with porotic hyperostosis which may be indicative of a nutritional deficiency.</w:t>
      </w:r>
    </w:p>
    <w:p w14:paraId="3A0314D6" w14:textId="77777777" w:rsidR="00B54EFE" w:rsidRDefault="00B54EFE" w:rsidP="00FC7958"/>
    <w:p w14:paraId="23431D3A" w14:textId="77777777" w:rsidR="00B54EFE" w:rsidRDefault="00B54EFE" w:rsidP="00FC7958">
      <w:r>
        <w:t xml:space="preserve">Macroscopic bone colour showed that the majority of burned material was white, indicative of full calcination associated with high burning intensity. Instances of blue and grey-coloured bone were also observed throughout the assemblage, demonstrating inconsistency in firing conditions potentially due to an insufficient oxygen supply. </w:t>
      </w:r>
    </w:p>
    <w:p w14:paraId="60C4F87C" w14:textId="77777777" w:rsidR="00B54EFE" w:rsidRDefault="00B54EFE" w:rsidP="00FC7958"/>
    <w:p w14:paraId="7F7D92A5" w14:textId="77777777" w:rsidR="00B54EFE" w:rsidRDefault="00B54EFE" w:rsidP="00FC7958">
      <w:r>
        <w:t xml:space="preserve">No artefact fragments (‘pyre goods’) were recovered from this cremation urn. However, fragments of oyster shell were identified during the analysis, as well as 24 fragments of burned animal bone. Unfortunately, due to the degree of fragmentation it was not possible to identify their species. </w:t>
      </w:r>
    </w:p>
    <w:bookmarkEnd w:id="1"/>
    <w:p w14:paraId="0F6FCFD6" w14:textId="77777777" w:rsidR="00B54EFE" w:rsidRDefault="00B54EFE" w:rsidP="00FC7958">
      <w:pPr>
        <w:rPr>
          <w:b/>
          <w:bCs/>
        </w:rPr>
      </w:pPr>
    </w:p>
    <w:p w14:paraId="4F84FD03" w14:textId="77777777" w:rsidR="00B54EFE" w:rsidRDefault="00B54EFE" w:rsidP="00FC7958">
      <w:pPr>
        <w:rPr>
          <w:b/>
          <w:bCs/>
        </w:rPr>
      </w:pPr>
      <w:r w:rsidRPr="00615864">
        <w:rPr>
          <w:b/>
          <w:bCs/>
        </w:rPr>
        <w:t>Discussion</w:t>
      </w:r>
    </w:p>
    <w:p w14:paraId="3BEB45BD" w14:textId="77777777" w:rsidR="00B54EFE" w:rsidRDefault="00B54EFE" w:rsidP="00FC7958">
      <w:pPr>
        <w:rPr>
          <w:i/>
          <w:iCs/>
        </w:rPr>
      </w:pPr>
    </w:p>
    <w:p w14:paraId="4BDF41D8" w14:textId="77777777" w:rsidR="00B54EFE" w:rsidRPr="00920A0E" w:rsidRDefault="00B54EFE" w:rsidP="00FC7958">
      <w:pPr>
        <w:rPr>
          <w:i/>
          <w:iCs/>
        </w:rPr>
      </w:pPr>
      <w:r w:rsidRPr="00920A0E">
        <w:rPr>
          <w:i/>
          <w:iCs/>
        </w:rPr>
        <w:t>Burned Bone Preservation</w:t>
      </w:r>
    </w:p>
    <w:p w14:paraId="4EEDE1AC" w14:textId="77777777" w:rsidR="00B54EFE" w:rsidRDefault="00B54EFE" w:rsidP="00FC7958">
      <w:r>
        <w:t>Researchers have used burned bone weight as an indicator of osteological sex, age, minimum number of individuals (MNI), as well as of cremation practices.</w:t>
      </w:r>
      <w:r>
        <w:rPr>
          <w:rStyle w:val="EndnoteReference"/>
        </w:rPr>
        <w:endnoteReference w:id="6"/>
      </w:r>
      <w:r>
        <w:t xml:space="preserve"> However, it is important to be aware that this aspect of cremation analysis is heavily influenced by various environmental factors, including the temperature of the pyre, post-depositional disturbance and preservation. Ellingham </w:t>
      </w:r>
      <w:r w:rsidRPr="00F33F9B">
        <w:rPr>
          <w:i/>
          <w:iCs/>
        </w:rPr>
        <w:t>et al</w:t>
      </w:r>
      <w:r>
        <w:t>. demonstrated in a series of laboratory-based experiments that weight loss in burned bone is subject to its exposure to varying temperatures and heating regimes.</w:t>
      </w:r>
      <w:r>
        <w:rPr>
          <w:rStyle w:val="EndnoteReference"/>
        </w:rPr>
        <w:endnoteReference w:id="7"/>
      </w:r>
      <w:r>
        <w:t xml:space="preserve"> As such, it is possible for firing conditions caused by poor weather or lack of fuel to impact bone weight.</w:t>
      </w:r>
    </w:p>
    <w:p w14:paraId="16F75409" w14:textId="77777777" w:rsidR="00B54EFE" w:rsidRDefault="00B54EFE" w:rsidP="00FC7958"/>
    <w:p w14:paraId="295F9ADD" w14:textId="77B48DA0" w:rsidR="00B54EFE" w:rsidRDefault="00B54EFE" w:rsidP="00FC7958">
      <w:r>
        <w:t xml:space="preserve">It is also common for cremation deposits to be heavily disturbed following deposition; this could be a result of damage or disturbance from the burial context. </w:t>
      </w:r>
      <w:r w:rsidRPr="001A3B5F">
        <w:t xml:space="preserve">After excavation, these deposits must also be processed and archived appropriately to avoid contamination or compromising the integrity of the assemblage. A review of </w:t>
      </w:r>
      <w:r w:rsidR="002858DC">
        <w:t>several</w:t>
      </w:r>
      <w:r w:rsidRPr="001A3B5F">
        <w:t xml:space="preserve"> </w:t>
      </w:r>
      <w:r w:rsidR="002858DC">
        <w:t>antiquarian</w:t>
      </w:r>
      <w:r w:rsidR="003E3E8E">
        <w:t xml:space="preserve"> </w:t>
      </w:r>
      <w:r w:rsidR="002858DC">
        <w:t>collection</w:t>
      </w:r>
      <w:r w:rsidRPr="001A3B5F">
        <w:t xml:space="preserve"> cremations for the </w:t>
      </w:r>
      <w:r w:rsidRPr="001A3B5F">
        <w:rPr>
          <w:i/>
          <w:iCs/>
        </w:rPr>
        <w:t>Decoding the Dead</w:t>
      </w:r>
      <w:r w:rsidRPr="001A3B5F">
        <w:t xml:space="preserve"> project revealed that grave integrity, particularly the grave groups of the antiquarian George Joslin, had been compromised over their decades of curation.</w:t>
      </w:r>
      <w:r w:rsidRPr="001A3B5F">
        <w:rPr>
          <w:rStyle w:val="EndnoteReference"/>
        </w:rPr>
        <w:endnoteReference w:id="8"/>
      </w:r>
      <w:r>
        <w:t xml:space="preserve"> </w:t>
      </w:r>
      <w:r w:rsidRPr="006B51EC">
        <w:t xml:space="preserve">The Colchester Vase, belonging to </w:t>
      </w:r>
      <w:r>
        <w:t>the</w:t>
      </w:r>
      <w:r w:rsidRPr="006B51EC">
        <w:t xml:space="preserve"> </w:t>
      </w:r>
      <w:r>
        <w:t>‘</w:t>
      </w:r>
      <w:r w:rsidRPr="006B51EC">
        <w:t>Taylor</w:t>
      </w:r>
      <w:r>
        <w:t xml:space="preserve"> Collection’</w:t>
      </w:r>
      <w:r w:rsidRPr="006B51EC">
        <w:t>, showed far greater grave integrity by comparison.</w:t>
      </w:r>
      <w:r>
        <w:t xml:space="preserve"> The amount of bone recovered from the urn </w:t>
      </w:r>
      <w:r w:rsidRPr="00716A46">
        <w:rPr>
          <w:color w:val="000000"/>
        </w:rPr>
        <w:t xml:space="preserve">(856.8g) is </w:t>
      </w:r>
      <w:r>
        <w:t>typical for Romano-British cremation burials.</w:t>
      </w:r>
      <w:r>
        <w:rPr>
          <w:rStyle w:val="EndnoteReference"/>
        </w:rPr>
        <w:endnoteReference w:id="9"/>
      </w:r>
      <w:r>
        <w:t xml:space="preserve"> Experimental research on the cremation of modern cadavers has demonstrated burned bone weight averages of 2226.7g for females and 3036.5g for males.</w:t>
      </w:r>
      <w:r>
        <w:rPr>
          <w:rStyle w:val="EndnoteReference"/>
        </w:rPr>
        <w:endnoteReference w:id="10"/>
      </w:r>
      <w:r>
        <w:t xml:space="preserve"> Presumably the bone was left as pyre debris or curated as part of the cremation process.</w:t>
      </w:r>
      <w:r>
        <w:rPr>
          <w:rStyle w:val="EndnoteReference"/>
        </w:rPr>
        <w:endnoteReference w:id="11"/>
      </w:r>
      <w:r>
        <w:t xml:space="preserve"> </w:t>
      </w:r>
    </w:p>
    <w:p w14:paraId="53C4CF99" w14:textId="77777777" w:rsidR="00B54EFE" w:rsidRDefault="00B54EFE" w:rsidP="00FC7958">
      <w:pPr>
        <w:rPr>
          <w:i/>
          <w:iCs/>
        </w:rPr>
      </w:pPr>
    </w:p>
    <w:p w14:paraId="405D0D14" w14:textId="77777777" w:rsidR="00B54EFE" w:rsidRPr="00E1761E" w:rsidRDefault="00B54EFE" w:rsidP="00FC7958">
      <w:pPr>
        <w:rPr>
          <w:i/>
          <w:iCs/>
        </w:rPr>
      </w:pPr>
      <w:r w:rsidRPr="00E1761E">
        <w:rPr>
          <w:i/>
          <w:iCs/>
        </w:rPr>
        <w:t>Demographic Profile</w:t>
      </w:r>
    </w:p>
    <w:p w14:paraId="4CCB92B4" w14:textId="77777777" w:rsidR="00B54EFE" w:rsidRDefault="00B54EFE" w:rsidP="00FC7958">
      <w:r>
        <w:t>The individual recovered from the Vase demonstrated sexually dimorphic features from the skull and pelvis that are more associated with males. The degeneration observed throughout the skeleton, specifically the spine, indicated that this individual was at least 40 years of age when he died. Establishing a narrow age bracket is challenging in cremation analysis due to the level of destruction caused by the firing process. The typical aging techniques applied in osteological examination are not always applicable to cremated human remains because of the variation in preservation.</w:t>
      </w:r>
      <w:r>
        <w:rPr>
          <w:rStyle w:val="EndnoteReference"/>
        </w:rPr>
        <w:endnoteReference w:id="12"/>
      </w:r>
      <w:r>
        <w:t xml:space="preserve"> As such, the level of accuracy is limited to the key biological milestones in a life cycle that distinguish between pre-adolescents, adolescents, 18 years and over, and 40 years and over. This individual had several vertebrae demonstrating extra bone growth or lipping around the vertebral body. These are referred to as osteophytes that usually form around joints effected by osteoarthritis, a condition predominantly associated with older individuals.</w:t>
      </w:r>
      <w:r>
        <w:rPr>
          <w:rStyle w:val="EndnoteReference"/>
        </w:rPr>
        <w:endnoteReference w:id="13"/>
      </w:r>
      <w:r>
        <w:t xml:space="preserve"> </w:t>
      </w:r>
    </w:p>
    <w:p w14:paraId="38C7E672" w14:textId="77777777" w:rsidR="00B54EFE" w:rsidRDefault="00B54EFE" w:rsidP="00FC7958">
      <w:pPr>
        <w:jc w:val="both"/>
      </w:pPr>
    </w:p>
    <w:p w14:paraId="67E08232" w14:textId="6D020084" w:rsidR="00B54EFE" w:rsidRDefault="00B54EFE" w:rsidP="00FC7958">
      <w:r>
        <w:lastRenderedPageBreak/>
        <w:t xml:space="preserve">Additional bone growth was identified in the proximal femur. The bone was active, meaning that the tissue was still growing at the time of death. These lesions were most similar to periostitis, a pathological lesion whereby </w:t>
      </w:r>
      <w:r w:rsidRPr="00262819">
        <w:t xml:space="preserve">the </w:t>
      </w:r>
      <w:r>
        <w:t>connective tissue that forms the outer layer of bone, the periosteum, becomes inflamed as a result of</w:t>
      </w:r>
      <w:r w:rsidRPr="00262819">
        <w:t xml:space="preserve"> a non-specific infection</w:t>
      </w:r>
      <w:r>
        <w:t>, strain or trauma, and would have led to aching pain, tenderness and swelling.</w:t>
      </w:r>
      <w:r>
        <w:rPr>
          <w:rStyle w:val="EndnoteReference"/>
        </w:rPr>
        <w:endnoteReference w:id="14"/>
      </w:r>
      <w:r>
        <w:t xml:space="preserve"> Due to the numerous potential causes of this condition, it is not possible to comment on what led to its manifestation in this individual. Further pathological lesions identified included localised pitting or perforations in six cranial fragments, most </w:t>
      </w:r>
      <w:proofErr w:type="gramStart"/>
      <w:r>
        <w:t>similar to</w:t>
      </w:r>
      <w:proofErr w:type="gramEnd"/>
      <w:r>
        <w:t xml:space="preserve"> porotic hyperostosis. These lesions are used as a broad indicator for health and are often found alongside </w:t>
      </w:r>
      <w:proofErr w:type="spellStart"/>
      <w:r>
        <w:t>cribra</w:t>
      </w:r>
      <w:proofErr w:type="spellEnd"/>
      <w:r>
        <w:t xml:space="preserve"> </w:t>
      </w:r>
      <w:proofErr w:type="spellStart"/>
      <w:r>
        <w:t>orbitalia</w:t>
      </w:r>
      <w:proofErr w:type="spellEnd"/>
      <w:r>
        <w:t>. In this instance, fragments from the cranial orbits were not identified in the assemblage. Research still debates the correlation between porotic hyperostosis and anaemia.</w:t>
      </w:r>
      <w:r>
        <w:rPr>
          <w:rStyle w:val="EndnoteReference"/>
        </w:rPr>
        <w:endnoteReference w:id="15"/>
      </w:r>
      <w:r>
        <w:t xml:space="preserve"> As such, it is not possible to state whether the individual from the </w:t>
      </w:r>
      <w:r w:rsidRPr="00E1761E">
        <w:t xml:space="preserve">Colchester Vase suffered </w:t>
      </w:r>
      <w:r>
        <w:t xml:space="preserve">from anaemia, but this indicates potential health stress and possible nutritional deficiencies. </w:t>
      </w:r>
    </w:p>
    <w:p w14:paraId="2AEFAFC0" w14:textId="77777777" w:rsidR="00B54EFE" w:rsidRDefault="00B54EFE" w:rsidP="00FC7958">
      <w:pPr>
        <w:rPr>
          <w:i/>
          <w:iCs/>
        </w:rPr>
      </w:pPr>
    </w:p>
    <w:p w14:paraId="50A29DC9" w14:textId="0D92B44C" w:rsidR="00B54EFE" w:rsidRPr="00F62E69" w:rsidRDefault="00B54EFE" w:rsidP="00F62E69">
      <w:pPr>
        <w:rPr>
          <w:i/>
          <w:iCs/>
        </w:rPr>
      </w:pPr>
      <w:r w:rsidRPr="00E1761E">
        <w:rPr>
          <w:i/>
          <w:iCs/>
        </w:rPr>
        <w:t>The Cremation</w:t>
      </w:r>
      <w:r>
        <w:rPr>
          <w:i/>
          <w:iCs/>
        </w:rPr>
        <w:t xml:space="preserve"> and Burial</w:t>
      </w:r>
      <w:r w:rsidRPr="00E1761E">
        <w:rPr>
          <w:i/>
          <w:iCs/>
        </w:rPr>
        <w:t xml:space="preserve"> Process</w:t>
      </w:r>
    </w:p>
    <w:p w14:paraId="098C17AB" w14:textId="77777777" w:rsidR="00B54EFE" w:rsidRDefault="00B54EFE" w:rsidP="00FC7958">
      <w:r>
        <w:t xml:space="preserve">The entire body was represented in the fragments of burned bone retrieved from the </w:t>
      </w:r>
      <w:r w:rsidRPr="00FF2612">
        <w:t>Colchester Vase</w:t>
      </w:r>
      <w:r>
        <w:t xml:space="preserve"> which could be identified to skeletal site (439.8g/856.8g). While most of the identified bone identified derived from the skull, it is unlikely that certain bodies parts were selected for burial or curation. The cremation and burial of the entire body suggest that this individual was subject to normative Roman cremation practices. </w:t>
      </w:r>
    </w:p>
    <w:p w14:paraId="5E74A0F5" w14:textId="77777777" w:rsidR="00FC7958" w:rsidRPr="00B7273D" w:rsidRDefault="00B54EFE" w:rsidP="00FC7958">
      <w:pPr>
        <w:ind w:firstLine="709"/>
      </w:pPr>
      <w:r>
        <w:t>The recovery of burned animal bone from the deposit indicates funerary feasting or sacrificial offerings placed on the pyre, a practice also seen at Wallington Road, Hertfordshire.</w:t>
      </w:r>
      <w:r>
        <w:rPr>
          <w:rStyle w:val="EndnoteReference"/>
        </w:rPr>
        <w:endnoteReference w:id="16"/>
      </w:r>
      <w:r>
        <w:t xml:space="preserve"> </w:t>
      </w:r>
      <w:r w:rsidR="00FC7958">
        <w:t xml:space="preserve">The pyre would have burned down until the body was fully cremated. The burned bone would have then been collected and placed inside the funerary urn – the </w:t>
      </w:r>
      <w:r w:rsidR="00FC7958" w:rsidRPr="00FF2612">
        <w:t xml:space="preserve">Colchester </w:t>
      </w:r>
      <w:r w:rsidR="00FC7958" w:rsidRPr="00DE3898">
        <w:t>Vase – before being buried at the cemetery site.</w:t>
      </w:r>
      <w:r w:rsidR="00FC7958">
        <w:t xml:space="preserve"> </w:t>
      </w:r>
    </w:p>
    <w:p w14:paraId="3B4FCCCB" w14:textId="56A780E3" w:rsidR="00FC7958" w:rsidRDefault="00FC7958" w:rsidP="00FC7958">
      <w:pPr>
        <w:jc w:val="both"/>
      </w:pPr>
    </w:p>
    <w:p w14:paraId="730872AE" w14:textId="262484D5" w:rsidR="00B54EFE" w:rsidRDefault="00B54EFE" w:rsidP="00FC7958">
      <w:pPr>
        <w:jc w:val="both"/>
      </w:pPr>
    </w:p>
    <w:p w14:paraId="2F5BB8BA" w14:textId="77777777" w:rsidR="00091A2E" w:rsidRDefault="00091A2E" w:rsidP="00FC7958">
      <w:pPr>
        <w:jc w:val="both"/>
      </w:pPr>
    </w:p>
    <w:p w14:paraId="6208B086" w14:textId="17B98584" w:rsidR="00B54EFE" w:rsidRDefault="00B54EFE" w:rsidP="00B54EFE">
      <w:pPr>
        <w:jc w:val="center"/>
      </w:pPr>
      <w:r>
        <w:t>BIBLIOGRAPHY</w:t>
      </w:r>
    </w:p>
    <w:p w14:paraId="4343CA68" w14:textId="5C3A17A7" w:rsidR="00B54EFE" w:rsidRDefault="00B54EFE" w:rsidP="00FB5257">
      <w:pPr>
        <w:rPr>
          <w:sz w:val="22"/>
          <w:szCs w:val="22"/>
        </w:rPr>
      </w:pPr>
    </w:p>
    <w:p w14:paraId="30678FC5" w14:textId="77777777" w:rsidR="00091A2E" w:rsidRPr="00091A2E" w:rsidRDefault="00091A2E" w:rsidP="00FB5257">
      <w:pPr>
        <w:rPr>
          <w:sz w:val="22"/>
          <w:szCs w:val="22"/>
        </w:rPr>
      </w:pPr>
    </w:p>
    <w:p w14:paraId="0CE7B9D5" w14:textId="77777777" w:rsidR="00FB5257" w:rsidRPr="00091A2E" w:rsidRDefault="00FB5257" w:rsidP="00D31B75">
      <w:pPr>
        <w:rPr>
          <w:rFonts w:cs="Times New Roman"/>
          <w:sz w:val="22"/>
          <w:szCs w:val="22"/>
        </w:rPr>
      </w:pPr>
      <w:r w:rsidRPr="00091A2E">
        <w:rPr>
          <w:rFonts w:cs="Times New Roman"/>
          <w:sz w:val="22"/>
          <w:szCs w:val="22"/>
        </w:rPr>
        <w:t>Brickley, M.B. 2018: ‘</w:t>
      </w:r>
      <w:proofErr w:type="spellStart"/>
      <w:r w:rsidRPr="00091A2E">
        <w:rPr>
          <w:rFonts w:cs="Times New Roman"/>
          <w:sz w:val="22"/>
          <w:szCs w:val="22"/>
        </w:rPr>
        <w:t>Cribra</w:t>
      </w:r>
      <w:proofErr w:type="spellEnd"/>
      <w:r w:rsidRPr="00091A2E">
        <w:rPr>
          <w:rFonts w:cs="Times New Roman"/>
          <w:sz w:val="22"/>
          <w:szCs w:val="22"/>
        </w:rPr>
        <w:t xml:space="preserve"> </w:t>
      </w:r>
      <w:proofErr w:type="spellStart"/>
      <w:r w:rsidRPr="00091A2E">
        <w:rPr>
          <w:rFonts w:cs="Times New Roman"/>
          <w:sz w:val="22"/>
          <w:szCs w:val="22"/>
        </w:rPr>
        <w:t>orbitalia</w:t>
      </w:r>
      <w:proofErr w:type="spellEnd"/>
      <w:r w:rsidRPr="00091A2E">
        <w:rPr>
          <w:rFonts w:cs="Times New Roman"/>
          <w:sz w:val="22"/>
          <w:szCs w:val="22"/>
        </w:rPr>
        <w:t xml:space="preserve"> and porotic hyperostosis: A biological approach to diagnosis’, </w:t>
      </w:r>
      <w:r w:rsidRPr="00091A2E">
        <w:rPr>
          <w:rFonts w:cs="Times New Roman"/>
          <w:i/>
          <w:iCs/>
          <w:sz w:val="22"/>
          <w:szCs w:val="22"/>
        </w:rPr>
        <w:t>American Journal of Physical Anthropology</w:t>
      </w:r>
      <w:r w:rsidRPr="00091A2E">
        <w:rPr>
          <w:rFonts w:cs="Times New Roman"/>
          <w:sz w:val="22"/>
          <w:szCs w:val="22"/>
        </w:rPr>
        <w:t xml:space="preserve"> 167(4), 896–902</w:t>
      </w:r>
    </w:p>
    <w:p w14:paraId="3BAA3CB5" w14:textId="77777777" w:rsidR="00FB5257" w:rsidRPr="00091A2E" w:rsidRDefault="00FB5257" w:rsidP="00FB5257">
      <w:pPr>
        <w:rPr>
          <w:sz w:val="22"/>
          <w:szCs w:val="22"/>
        </w:rPr>
      </w:pPr>
    </w:p>
    <w:p w14:paraId="206080CF" w14:textId="77777777" w:rsidR="00B54EFE" w:rsidRPr="00091A2E" w:rsidRDefault="00B54EFE" w:rsidP="00D31B75">
      <w:pPr>
        <w:rPr>
          <w:rFonts w:cs="Times New Roman"/>
          <w:sz w:val="22"/>
          <w:szCs w:val="22"/>
        </w:rPr>
      </w:pPr>
      <w:r w:rsidRPr="00091A2E">
        <w:rPr>
          <w:rFonts w:cs="Times New Roman"/>
          <w:sz w:val="22"/>
          <w:szCs w:val="22"/>
        </w:rPr>
        <w:t xml:space="preserve">Brickley, M. and McKinley, J.I. 2004: </w:t>
      </w:r>
      <w:r w:rsidRPr="00091A2E">
        <w:rPr>
          <w:rFonts w:cs="Times New Roman"/>
          <w:i/>
          <w:iCs/>
          <w:sz w:val="22"/>
          <w:szCs w:val="22"/>
        </w:rPr>
        <w:t>Guidelines to the Standards for Recording Human Remains</w:t>
      </w:r>
      <w:r w:rsidRPr="00091A2E">
        <w:rPr>
          <w:rFonts w:cs="Times New Roman"/>
          <w:sz w:val="22"/>
          <w:szCs w:val="22"/>
        </w:rPr>
        <w:t>, Institute of Field Archaeologists, BABAO, Southampton</w:t>
      </w:r>
    </w:p>
    <w:p w14:paraId="6C904139" w14:textId="64EEC9B5" w:rsidR="00B54EFE" w:rsidRPr="00091A2E" w:rsidRDefault="00B54EFE" w:rsidP="00B54EFE">
      <w:pPr>
        <w:ind w:left="284" w:hanging="284"/>
        <w:rPr>
          <w:rFonts w:cs="Times New Roman"/>
          <w:sz w:val="22"/>
          <w:szCs w:val="22"/>
        </w:rPr>
      </w:pPr>
    </w:p>
    <w:p w14:paraId="6AB065AB" w14:textId="77777777" w:rsidR="00B54EFE" w:rsidRPr="00091A2E" w:rsidRDefault="00B54EFE" w:rsidP="00E73DB3">
      <w:pPr>
        <w:rPr>
          <w:rFonts w:cs="Times New Roman"/>
          <w:sz w:val="22"/>
          <w:szCs w:val="22"/>
        </w:rPr>
      </w:pPr>
      <w:r w:rsidRPr="00091A2E">
        <w:rPr>
          <w:rFonts w:cs="Times New Roman"/>
          <w:sz w:val="22"/>
          <w:szCs w:val="22"/>
        </w:rPr>
        <w:t xml:space="preserve">British Association for Biological Anthropology and Osteoarchaeology (BABAO) 2019a: </w:t>
      </w:r>
      <w:r w:rsidRPr="00091A2E">
        <w:rPr>
          <w:rFonts w:cs="Times New Roman"/>
          <w:i/>
          <w:iCs/>
          <w:sz w:val="22"/>
          <w:szCs w:val="22"/>
        </w:rPr>
        <w:t>Code of Ethics</w:t>
      </w:r>
      <w:r w:rsidRPr="00091A2E">
        <w:rPr>
          <w:rFonts w:cs="Times New Roman"/>
          <w:sz w:val="22"/>
          <w:szCs w:val="22"/>
        </w:rPr>
        <w:t xml:space="preserve">, </w:t>
      </w:r>
      <w:hyperlink r:id="rId6" w:history="1">
        <w:r w:rsidRPr="00091A2E">
          <w:rPr>
            <w:rStyle w:val="Hyperlink"/>
            <w:rFonts w:cs="Times New Roman"/>
            <w:sz w:val="22"/>
            <w:szCs w:val="22"/>
          </w:rPr>
          <w:t>https://www.babao.org.uk/assets/Uploads/BABAO-Code-of-Ethics-2019.pdf</w:t>
        </w:r>
      </w:hyperlink>
      <w:r w:rsidRPr="00091A2E">
        <w:rPr>
          <w:rFonts w:cs="Times New Roman"/>
          <w:sz w:val="22"/>
          <w:szCs w:val="22"/>
        </w:rPr>
        <w:t xml:space="preserve"> (accessed April 2022)</w:t>
      </w:r>
    </w:p>
    <w:p w14:paraId="0C3952E6" w14:textId="77777777" w:rsidR="00B54EFE" w:rsidRPr="00091A2E" w:rsidRDefault="00B54EFE" w:rsidP="00B54EFE">
      <w:pPr>
        <w:ind w:left="284" w:hanging="284"/>
        <w:rPr>
          <w:rFonts w:cs="Times New Roman"/>
          <w:sz w:val="22"/>
          <w:szCs w:val="22"/>
        </w:rPr>
      </w:pPr>
    </w:p>
    <w:p w14:paraId="37BD0D34" w14:textId="2785A59A" w:rsidR="00B54EFE" w:rsidRPr="00091A2E" w:rsidRDefault="00B54EFE" w:rsidP="005A3DEA">
      <w:pPr>
        <w:rPr>
          <w:rFonts w:cs="Times New Roman"/>
          <w:color w:val="000080"/>
          <w:sz w:val="22"/>
          <w:szCs w:val="22"/>
          <w:u w:val="single"/>
        </w:rPr>
      </w:pPr>
      <w:r w:rsidRPr="00091A2E">
        <w:rPr>
          <w:rFonts w:cs="Times New Roman"/>
          <w:sz w:val="22"/>
          <w:szCs w:val="22"/>
        </w:rPr>
        <w:t xml:space="preserve">British Association for Biological Anthropology and Osteoarchaeology (BABAO) 2019b: </w:t>
      </w:r>
      <w:r w:rsidRPr="00091A2E">
        <w:rPr>
          <w:rFonts w:cs="Times New Roman"/>
          <w:i/>
          <w:iCs/>
          <w:sz w:val="22"/>
          <w:szCs w:val="22"/>
        </w:rPr>
        <w:t>Code of Practice</w:t>
      </w:r>
      <w:r w:rsidRPr="00091A2E">
        <w:rPr>
          <w:rFonts w:cs="Times New Roman"/>
          <w:sz w:val="22"/>
          <w:szCs w:val="22"/>
        </w:rPr>
        <w:t xml:space="preserve">, </w:t>
      </w:r>
      <w:hyperlink r:id="rId7" w:history="1">
        <w:r w:rsidRPr="00091A2E">
          <w:rPr>
            <w:rStyle w:val="Hyperlink"/>
            <w:rFonts w:cs="Times New Roman"/>
            <w:sz w:val="22"/>
            <w:szCs w:val="22"/>
          </w:rPr>
          <w:t>https://www.babao.org.uk/assets/Uploads/BABAO-Code-of-Practice-2019.pdf</w:t>
        </w:r>
      </w:hyperlink>
      <w:r w:rsidRPr="00091A2E">
        <w:rPr>
          <w:rStyle w:val="Hyperlink"/>
          <w:rFonts w:cs="Times New Roman"/>
          <w:sz w:val="22"/>
          <w:szCs w:val="22"/>
        </w:rPr>
        <w:t xml:space="preserve"> </w:t>
      </w:r>
      <w:r w:rsidRPr="00091A2E">
        <w:rPr>
          <w:rFonts w:cs="Times New Roman"/>
          <w:sz w:val="22"/>
          <w:szCs w:val="22"/>
        </w:rPr>
        <w:t>(accessed April 2022)</w:t>
      </w:r>
    </w:p>
    <w:p w14:paraId="5F0A11FA" w14:textId="771D2A55" w:rsidR="00B54EFE" w:rsidRPr="00EF23AD" w:rsidRDefault="00B54EFE" w:rsidP="00B54EFE">
      <w:pPr>
        <w:ind w:left="284" w:hanging="284"/>
        <w:rPr>
          <w:rFonts w:cs="Times New Roman"/>
          <w:sz w:val="22"/>
          <w:szCs w:val="22"/>
        </w:rPr>
      </w:pPr>
    </w:p>
    <w:p w14:paraId="6278ED23" w14:textId="312F36B1" w:rsidR="00EF23AD" w:rsidRPr="00EF23AD" w:rsidRDefault="00EF23AD" w:rsidP="005A3DEA">
      <w:pPr>
        <w:rPr>
          <w:rFonts w:cs="Times New Roman"/>
          <w:sz w:val="22"/>
          <w:szCs w:val="22"/>
        </w:rPr>
      </w:pPr>
      <w:r w:rsidRPr="00EF23AD">
        <w:rPr>
          <w:sz w:val="22"/>
          <w:szCs w:val="22"/>
        </w:rPr>
        <w:t>Brück, J., 2014</w:t>
      </w:r>
      <w:r w:rsidR="006B4FDC">
        <w:rPr>
          <w:sz w:val="22"/>
          <w:szCs w:val="22"/>
        </w:rPr>
        <w:t>:</w:t>
      </w:r>
      <w:r w:rsidRPr="00EF23AD">
        <w:rPr>
          <w:sz w:val="22"/>
          <w:szCs w:val="22"/>
        </w:rPr>
        <w:t xml:space="preserve"> Cremation, gender and concepts of the self in the British early Bronze Age. In: I., </w:t>
      </w:r>
      <w:proofErr w:type="spellStart"/>
      <w:r w:rsidRPr="00EF23AD">
        <w:rPr>
          <w:sz w:val="22"/>
          <w:szCs w:val="22"/>
        </w:rPr>
        <w:t>Kuijt</w:t>
      </w:r>
      <w:proofErr w:type="spellEnd"/>
      <w:r w:rsidRPr="00EF23AD">
        <w:rPr>
          <w:sz w:val="22"/>
          <w:szCs w:val="22"/>
        </w:rPr>
        <w:t xml:space="preserve">, C.P., Quinn, G., Cooney, eds. </w:t>
      </w:r>
      <w:r w:rsidRPr="00670C15">
        <w:rPr>
          <w:i/>
          <w:iCs/>
          <w:sz w:val="22"/>
          <w:szCs w:val="22"/>
        </w:rPr>
        <w:t>Transformation by fire: The archaeology of cremation in cultural context</w:t>
      </w:r>
      <w:r w:rsidRPr="00EF23AD">
        <w:rPr>
          <w:sz w:val="22"/>
          <w:szCs w:val="22"/>
        </w:rPr>
        <w:t xml:space="preserve">. </w:t>
      </w:r>
      <w:proofErr w:type="spellStart"/>
      <w:r w:rsidRPr="00EF23AD">
        <w:rPr>
          <w:sz w:val="22"/>
          <w:szCs w:val="22"/>
        </w:rPr>
        <w:t>Tuscon</w:t>
      </w:r>
      <w:proofErr w:type="spellEnd"/>
      <w:r w:rsidRPr="00EF23AD">
        <w:rPr>
          <w:sz w:val="22"/>
          <w:szCs w:val="22"/>
        </w:rPr>
        <w:t>, 119</w:t>
      </w:r>
      <w:r w:rsidR="006B4FDC" w:rsidRPr="00091A2E">
        <w:rPr>
          <w:rFonts w:cs="Times New Roman"/>
          <w:sz w:val="22"/>
          <w:szCs w:val="22"/>
        </w:rPr>
        <w:t>–</w:t>
      </w:r>
      <w:r w:rsidRPr="00EF23AD">
        <w:rPr>
          <w:sz w:val="22"/>
          <w:szCs w:val="22"/>
        </w:rPr>
        <w:t>39</w:t>
      </w:r>
    </w:p>
    <w:p w14:paraId="0CD9531F" w14:textId="77777777" w:rsidR="00EF23AD" w:rsidRPr="00091A2E" w:rsidRDefault="00EF23AD" w:rsidP="00B54EFE">
      <w:pPr>
        <w:ind w:left="284" w:hanging="284"/>
        <w:rPr>
          <w:rFonts w:cs="Times New Roman"/>
          <w:sz w:val="22"/>
          <w:szCs w:val="22"/>
        </w:rPr>
      </w:pPr>
    </w:p>
    <w:p w14:paraId="34EDE4B5" w14:textId="0B929CB9" w:rsidR="00FB5257" w:rsidRPr="00091A2E" w:rsidRDefault="00FB5257" w:rsidP="005A3DEA">
      <w:pPr>
        <w:rPr>
          <w:rFonts w:cs="Times New Roman"/>
          <w:sz w:val="22"/>
          <w:szCs w:val="22"/>
        </w:rPr>
      </w:pPr>
      <w:r w:rsidRPr="00091A2E">
        <w:rPr>
          <w:rFonts w:cs="Times New Roman"/>
          <w:sz w:val="22"/>
          <w:szCs w:val="22"/>
        </w:rPr>
        <w:t xml:space="preserve">Burleigh, K. and Fitzpatrick-Matthews, G.R. 2010: </w:t>
      </w:r>
      <w:r w:rsidRPr="00091A2E">
        <w:rPr>
          <w:rFonts w:cs="Times New Roman"/>
          <w:i/>
          <w:iCs/>
          <w:sz w:val="22"/>
          <w:szCs w:val="22"/>
        </w:rPr>
        <w:t>Excavations at Baldock, Hertfordshire, 1978-1994. Volume 1. An Iron Age and Romano-British Cemetery at Wallington Road</w:t>
      </w:r>
      <w:r w:rsidRPr="00091A2E">
        <w:rPr>
          <w:rFonts w:cs="Times New Roman"/>
          <w:sz w:val="22"/>
          <w:szCs w:val="22"/>
        </w:rPr>
        <w:t>, Letchworth</w:t>
      </w:r>
    </w:p>
    <w:p w14:paraId="32E09BB8" w14:textId="77777777" w:rsidR="00FB5257" w:rsidRPr="00091A2E" w:rsidRDefault="00FB5257" w:rsidP="00B54EFE">
      <w:pPr>
        <w:ind w:left="284" w:hanging="284"/>
        <w:rPr>
          <w:rFonts w:cs="Times New Roman"/>
          <w:sz w:val="22"/>
          <w:szCs w:val="22"/>
        </w:rPr>
      </w:pPr>
    </w:p>
    <w:p w14:paraId="47F0578F" w14:textId="75231C85" w:rsidR="00B54EFE" w:rsidRPr="00091A2E" w:rsidRDefault="00B54EFE" w:rsidP="005A3DEA">
      <w:pPr>
        <w:rPr>
          <w:rFonts w:cs="Times New Roman"/>
          <w:sz w:val="22"/>
          <w:szCs w:val="22"/>
        </w:rPr>
      </w:pPr>
      <w:r w:rsidRPr="00091A2E">
        <w:rPr>
          <w:rFonts w:cs="Times New Roman"/>
          <w:sz w:val="22"/>
          <w:szCs w:val="22"/>
        </w:rPr>
        <w:lastRenderedPageBreak/>
        <w:t xml:space="preserve">Carroll, E.L. 2019: </w:t>
      </w:r>
      <w:r w:rsidRPr="00091A2E">
        <w:rPr>
          <w:rFonts w:cs="Times New Roman"/>
          <w:i/>
          <w:iCs/>
          <w:sz w:val="22"/>
          <w:szCs w:val="22"/>
        </w:rPr>
        <w:t>Burning by Numbers: Cremation and Cultural Transitions in Late Iron Age and Roman Britain (100BC–AD410)</w:t>
      </w:r>
      <w:r w:rsidRPr="00091A2E">
        <w:rPr>
          <w:rFonts w:cs="Times New Roman"/>
          <w:sz w:val="22"/>
          <w:szCs w:val="22"/>
        </w:rPr>
        <w:t>, unpublished doctoral thesis, University of Reading</w:t>
      </w:r>
    </w:p>
    <w:p w14:paraId="246AB42A" w14:textId="1EBF276D" w:rsidR="00B54EFE" w:rsidRPr="00091A2E" w:rsidRDefault="00B54EFE" w:rsidP="00B54EFE">
      <w:pPr>
        <w:rPr>
          <w:sz w:val="22"/>
          <w:szCs w:val="22"/>
        </w:rPr>
      </w:pPr>
    </w:p>
    <w:p w14:paraId="08A51264" w14:textId="77777777" w:rsidR="00FB5257" w:rsidRPr="00091A2E" w:rsidRDefault="00FB5257" w:rsidP="005A3DEA">
      <w:pPr>
        <w:rPr>
          <w:rFonts w:cs="Times New Roman"/>
          <w:sz w:val="22"/>
          <w:szCs w:val="22"/>
        </w:rPr>
      </w:pPr>
      <w:r w:rsidRPr="00091A2E">
        <w:rPr>
          <w:rFonts w:cs="Times New Roman"/>
          <w:sz w:val="22"/>
          <w:szCs w:val="22"/>
        </w:rPr>
        <w:t xml:space="preserve">Carroll, E.L. 2021: </w:t>
      </w:r>
      <w:r w:rsidRPr="00091A2E">
        <w:rPr>
          <w:rFonts w:cs="Times New Roman"/>
          <w:i/>
          <w:iCs/>
          <w:sz w:val="22"/>
          <w:szCs w:val="22"/>
        </w:rPr>
        <w:t>Decoding the Dead: Human Bone Report (Cremation Burials)</w:t>
      </w:r>
      <w:r w:rsidRPr="00091A2E">
        <w:rPr>
          <w:rFonts w:cs="Times New Roman"/>
          <w:sz w:val="22"/>
          <w:szCs w:val="22"/>
        </w:rPr>
        <w:t>, unpublished report commissioned by Colchester Museums, Colchester</w:t>
      </w:r>
    </w:p>
    <w:p w14:paraId="5FA644AA" w14:textId="77777777" w:rsidR="00FB5257" w:rsidRPr="00091A2E" w:rsidRDefault="00FB5257" w:rsidP="00B54EFE">
      <w:pPr>
        <w:rPr>
          <w:sz w:val="22"/>
          <w:szCs w:val="22"/>
        </w:rPr>
      </w:pPr>
    </w:p>
    <w:p w14:paraId="7662AD2C" w14:textId="77777777" w:rsidR="00FB5257" w:rsidRPr="00091A2E" w:rsidRDefault="00FB5257" w:rsidP="005A3DEA">
      <w:pPr>
        <w:rPr>
          <w:rFonts w:cs="Times New Roman"/>
          <w:sz w:val="22"/>
          <w:szCs w:val="22"/>
        </w:rPr>
      </w:pPr>
      <w:r w:rsidRPr="00091A2E">
        <w:rPr>
          <w:rFonts w:cs="Times New Roman"/>
          <w:sz w:val="22"/>
          <w:szCs w:val="22"/>
        </w:rPr>
        <w:t xml:space="preserve">Crummy, N. and Loughton, M. 2021: </w:t>
      </w:r>
      <w:r w:rsidRPr="00091A2E">
        <w:rPr>
          <w:rFonts w:cs="Times New Roman"/>
          <w:i/>
          <w:iCs/>
          <w:sz w:val="22"/>
          <w:szCs w:val="22"/>
        </w:rPr>
        <w:t>Decoding the Dead: A Reassessment of the Joslin Collection</w:t>
      </w:r>
      <w:r w:rsidRPr="00091A2E">
        <w:rPr>
          <w:rFonts w:cs="Times New Roman"/>
          <w:sz w:val="22"/>
          <w:szCs w:val="22"/>
        </w:rPr>
        <w:t>, Unpublished report commissioned by Colchester Museums, Colchester</w:t>
      </w:r>
    </w:p>
    <w:p w14:paraId="5C319D0C" w14:textId="77777777" w:rsidR="00FB5257" w:rsidRPr="00091A2E" w:rsidRDefault="00FB5257" w:rsidP="00B54EFE">
      <w:pPr>
        <w:rPr>
          <w:sz w:val="22"/>
          <w:szCs w:val="22"/>
        </w:rPr>
      </w:pPr>
    </w:p>
    <w:p w14:paraId="6318A98E" w14:textId="77777777" w:rsidR="00B54EFE" w:rsidRPr="00091A2E" w:rsidRDefault="00B54EFE" w:rsidP="00B54EFE">
      <w:pPr>
        <w:pStyle w:val="NormalWeb"/>
        <w:spacing w:before="0" w:after="0"/>
        <w:rPr>
          <w:sz w:val="22"/>
          <w:szCs w:val="22"/>
        </w:rPr>
      </w:pPr>
      <w:r w:rsidRPr="00091A2E">
        <w:rPr>
          <w:color w:val="222222"/>
          <w:sz w:val="22"/>
          <w:szCs w:val="22"/>
          <w:shd w:val="clear" w:color="auto" w:fill="FFFFFF"/>
        </w:rPr>
        <w:t xml:space="preserve">Eckardt, H., Carroll, E.L., Davis, G.J.C., </w:t>
      </w:r>
      <w:r w:rsidRPr="00091A2E">
        <w:rPr>
          <w:sz w:val="22"/>
          <w:szCs w:val="22"/>
        </w:rPr>
        <w:t xml:space="preserve">Rangel de Lima, C., Montgomery, J., Moore, J. and </w:t>
      </w:r>
      <w:proofErr w:type="spellStart"/>
      <w:r w:rsidRPr="00091A2E">
        <w:rPr>
          <w:sz w:val="22"/>
          <w:szCs w:val="22"/>
        </w:rPr>
        <w:t>Nowells</w:t>
      </w:r>
      <w:proofErr w:type="spellEnd"/>
      <w:r w:rsidRPr="00091A2E">
        <w:rPr>
          <w:sz w:val="22"/>
          <w:szCs w:val="22"/>
        </w:rPr>
        <w:t xml:space="preserve">, G. </w:t>
      </w:r>
      <w:r w:rsidRPr="00091A2E">
        <w:rPr>
          <w:sz w:val="22"/>
          <w:szCs w:val="22"/>
          <w:highlight w:val="yellow"/>
        </w:rPr>
        <w:t>forthcoming</w:t>
      </w:r>
      <w:r w:rsidRPr="00091A2E">
        <w:rPr>
          <w:color w:val="222222"/>
          <w:sz w:val="22"/>
          <w:szCs w:val="22"/>
          <w:shd w:val="clear" w:color="auto" w:fill="FFFFFF"/>
        </w:rPr>
        <w:t>: ‘Decoding the dead: new osteoarchaeological, isotope and artefact analysis of Roman cremations from antiquarian collections at Colchester (UK)’</w:t>
      </w:r>
    </w:p>
    <w:p w14:paraId="7CF3CBCF" w14:textId="77777777" w:rsidR="00FB5257" w:rsidRPr="00091A2E" w:rsidRDefault="00FB5257" w:rsidP="00FB5257">
      <w:pPr>
        <w:rPr>
          <w:rFonts w:cs="Times New Roman"/>
          <w:sz w:val="22"/>
          <w:szCs w:val="22"/>
        </w:rPr>
      </w:pPr>
    </w:p>
    <w:p w14:paraId="5F9F4A57" w14:textId="7B51FBBD" w:rsidR="00FB5257" w:rsidRPr="00091A2E" w:rsidRDefault="00FB5257" w:rsidP="005A3DEA">
      <w:pPr>
        <w:rPr>
          <w:rFonts w:cs="Times New Roman"/>
          <w:sz w:val="22"/>
          <w:szCs w:val="22"/>
        </w:rPr>
      </w:pPr>
      <w:r w:rsidRPr="00091A2E">
        <w:rPr>
          <w:rFonts w:cs="Times New Roman"/>
          <w:sz w:val="22"/>
          <w:szCs w:val="22"/>
        </w:rPr>
        <w:t xml:space="preserve">Ellingham, S.T.D., Thompson, T.J.U., Islam, M. and Taylor, G. 2015: ‘Estimating temperature exposure of burnt bone – a methodological review’, </w:t>
      </w:r>
      <w:r w:rsidRPr="00091A2E">
        <w:rPr>
          <w:rFonts w:cs="Times New Roman"/>
          <w:i/>
          <w:iCs/>
          <w:sz w:val="22"/>
          <w:szCs w:val="22"/>
        </w:rPr>
        <w:t>Science and Justice</w:t>
      </w:r>
      <w:r w:rsidRPr="00091A2E">
        <w:rPr>
          <w:rFonts w:cs="Times New Roman"/>
          <w:sz w:val="22"/>
          <w:szCs w:val="22"/>
        </w:rPr>
        <w:t xml:space="preserve"> 55, 181–8</w:t>
      </w:r>
    </w:p>
    <w:p w14:paraId="2446CA35" w14:textId="4AC80A53" w:rsidR="00FB5257" w:rsidRPr="007A6F5A" w:rsidRDefault="00FB5257" w:rsidP="00B54EFE">
      <w:pPr>
        <w:rPr>
          <w:rFonts w:cs="Times New Roman"/>
          <w:sz w:val="22"/>
          <w:szCs w:val="22"/>
        </w:rPr>
      </w:pPr>
    </w:p>
    <w:p w14:paraId="60F0FFEE" w14:textId="60391A43" w:rsidR="007A6F5A" w:rsidRPr="007A6F5A" w:rsidRDefault="007A6F5A" w:rsidP="00B54EFE">
      <w:pPr>
        <w:rPr>
          <w:rFonts w:cs="Times New Roman"/>
          <w:sz w:val="22"/>
          <w:szCs w:val="22"/>
        </w:rPr>
      </w:pPr>
      <w:r w:rsidRPr="007A6F5A">
        <w:rPr>
          <w:rFonts w:cs="Times New Roman"/>
          <w:color w:val="212121"/>
          <w:sz w:val="22"/>
          <w:szCs w:val="22"/>
          <w:shd w:val="clear" w:color="auto" w:fill="FFFFFF"/>
        </w:rPr>
        <w:t>Gonçalves D</w:t>
      </w:r>
      <w:r>
        <w:rPr>
          <w:rFonts w:cs="Times New Roman"/>
          <w:color w:val="212121"/>
          <w:sz w:val="22"/>
          <w:szCs w:val="22"/>
          <w:shd w:val="clear" w:color="auto" w:fill="FFFFFF"/>
        </w:rPr>
        <w:t>.</w:t>
      </w:r>
      <w:r w:rsidRPr="007A6F5A">
        <w:rPr>
          <w:rFonts w:cs="Times New Roman"/>
          <w:color w:val="212121"/>
          <w:sz w:val="22"/>
          <w:szCs w:val="22"/>
          <w:shd w:val="clear" w:color="auto" w:fill="FFFFFF"/>
        </w:rPr>
        <w:t>, Thompson T</w:t>
      </w:r>
      <w:r>
        <w:rPr>
          <w:rFonts w:cs="Times New Roman"/>
          <w:color w:val="212121"/>
          <w:sz w:val="22"/>
          <w:szCs w:val="22"/>
          <w:shd w:val="clear" w:color="auto" w:fill="FFFFFF"/>
        </w:rPr>
        <w:t>.</w:t>
      </w:r>
      <w:r w:rsidRPr="007A6F5A">
        <w:rPr>
          <w:rFonts w:cs="Times New Roman"/>
          <w:color w:val="212121"/>
          <w:sz w:val="22"/>
          <w:szCs w:val="22"/>
          <w:shd w:val="clear" w:color="auto" w:fill="FFFFFF"/>
        </w:rPr>
        <w:t>J</w:t>
      </w:r>
      <w:r>
        <w:rPr>
          <w:rFonts w:cs="Times New Roman"/>
          <w:color w:val="212121"/>
          <w:sz w:val="22"/>
          <w:szCs w:val="22"/>
          <w:shd w:val="clear" w:color="auto" w:fill="FFFFFF"/>
        </w:rPr>
        <w:t xml:space="preserve">. and </w:t>
      </w:r>
      <w:r w:rsidRPr="007A6F5A">
        <w:rPr>
          <w:rFonts w:cs="Times New Roman"/>
          <w:color w:val="212121"/>
          <w:sz w:val="22"/>
          <w:szCs w:val="22"/>
          <w:shd w:val="clear" w:color="auto" w:fill="FFFFFF"/>
        </w:rPr>
        <w:t xml:space="preserve">Cunha E. </w:t>
      </w:r>
      <w:r w:rsidR="00532CA4">
        <w:rPr>
          <w:rFonts w:cs="Times New Roman"/>
          <w:color w:val="212121"/>
          <w:sz w:val="22"/>
          <w:szCs w:val="22"/>
          <w:shd w:val="clear" w:color="auto" w:fill="FFFFFF"/>
        </w:rPr>
        <w:t>2013: ‘</w:t>
      </w:r>
      <w:proofErr w:type="spellStart"/>
      <w:r w:rsidRPr="007A6F5A">
        <w:rPr>
          <w:rFonts w:cs="Times New Roman"/>
          <w:color w:val="212121"/>
          <w:sz w:val="22"/>
          <w:szCs w:val="22"/>
          <w:shd w:val="clear" w:color="auto" w:fill="FFFFFF"/>
        </w:rPr>
        <w:t>Osteometric</w:t>
      </w:r>
      <w:proofErr w:type="spellEnd"/>
      <w:r w:rsidRPr="007A6F5A">
        <w:rPr>
          <w:rFonts w:cs="Times New Roman"/>
          <w:color w:val="212121"/>
          <w:sz w:val="22"/>
          <w:szCs w:val="22"/>
          <w:shd w:val="clear" w:color="auto" w:fill="FFFFFF"/>
        </w:rPr>
        <w:t xml:space="preserve"> sex determination of burned human skeletal remains</w:t>
      </w:r>
      <w:r w:rsidR="00532CA4">
        <w:rPr>
          <w:rFonts w:cs="Times New Roman"/>
          <w:color w:val="212121"/>
          <w:sz w:val="22"/>
          <w:szCs w:val="22"/>
          <w:shd w:val="clear" w:color="auto" w:fill="FFFFFF"/>
        </w:rPr>
        <w:t>’,</w:t>
      </w:r>
      <w:r w:rsidRPr="007A6F5A">
        <w:rPr>
          <w:rFonts w:cs="Times New Roman"/>
          <w:color w:val="212121"/>
          <w:sz w:val="22"/>
          <w:szCs w:val="22"/>
          <w:shd w:val="clear" w:color="auto" w:fill="FFFFFF"/>
        </w:rPr>
        <w:t xml:space="preserve"> </w:t>
      </w:r>
      <w:r w:rsidR="006D585A" w:rsidRPr="006D585A">
        <w:rPr>
          <w:rFonts w:cs="Times New Roman"/>
          <w:i/>
          <w:iCs/>
          <w:color w:val="212121"/>
          <w:sz w:val="22"/>
          <w:szCs w:val="22"/>
          <w:shd w:val="clear" w:color="auto" w:fill="FFFFFF"/>
        </w:rPr>
        <w:t xml:space="preserve">Journal of Forensic and Legal Medicine </w:t>
      </w:r>
      <w:r w:rsidRPr="007A6F5A">
        <w:rPr>
          <w:rFonts w:cs="Times New Roman"/>
          <w:color w:val="212121"/>
          <w:sz w:val="22"/>
          <w:szCs w:val="22"/>
          <w:shd w:val="clear" w:color="auto" w:fill="FFFFFF"/>
        </w:rPr>
        <w:t>20</w:t>
      </w:r>
      <w:r w:rsidR="00532CA4">
        <w:rPr>
          <w:rFonts w:cs="Times New Roman"/>
          <w:color w:val="212121"/>
          <w:sz w:val="22"/>
          <w:szCs w:val="22"/>
          <w:shd w:val="clear" w:color="auto" w:fill="FFFFFF"/>
        </w:rPr>
        <w:t>.</w:t>
      </w:r>
      <w:r w:rsidRPr="007A6F5A">
        <w:rPr>
          <w:rFonts w:cs="Times New Roman"/>
          <w:color w:val="212121"/>
          <w:sz w:val="22"/>
          <w:szCs w:val="22"/>
          <w:shd w:val="clear" w:color="auto" w:fill="FFFFFF"/>
        </w:rPr>
        <w:t>7</w:t>
      </w:r>
      <w:r w:rsidR="00532CA4">
        <w:rPr>
          <w:rFonts w:cs="Times New Roman"/>
          <w:color w:val="212121"/>
          <w:sz w:val="22"/>
          <w:szCs w:val="22"/>
          <w:shd w:val="clear" w:color="auto" w:fill="FFFFFF"/>
        </w:rPr>
        <w:t xml:space="preserve">, </w:t>
      </w:r>
      <w:r w:rsidRPr="007A6F5A">
        <w:rPr>
          <w:rFonts w:cs="Times New Roman"/>
          <w:color w:val="212121"/>
          <w:sz w:val="22"/>
          <w:szCs w:val="22"/>
          <w:shd w:val="clear" w:color="auto" w:fill="FFFFFF"/>
        </w:rPr>
        <w:t>906</w:t>
      </w:r>
      <w:r w:rsidR="00532CA4" w:rsidRPr="00091A2E">
        <w:rPr>
          <w:rFonts w:cs="Times New Roman"/>
          <w:sz w:val="22"/>
          <w:szCs w:val="22"/>
        </w:rPr>
        <w:t>–</w:t>
      </w:r>
      <w:r w:rsidRPr="007A6F5A">
        <w:rPr>
          <w:rFonts w:cs="Times New Roman"/>
          <w:color w:val="212121"/>
          <w:sz w:val="22"/>
          <w:szCs w:val="22"/>
          <w:shd w:val="clear" w:color="auto" w:fill="FFFFFF"/>
        </w:rPr>
        <w:t>11</w:t>
      </w:r>
    </w:p>
    <w:p w14:paraId="7D99FACD" w14:textId="77777777" w:rsidR="007A6F5A" w:rsidRPr="007A6F5A" w:rsidRDefault="007A6F5A" w:rsidP="00B54EFE">
      <w:pPr>
        <w:rPr>
          <w:rFonts w:cs="Times New Roman"/>
          <w:sz w:val="22"/>
          <w:szCs w:val="22"/>
        </w:rPr>
      </w:pPr>
    </w:p>
    <w:p w14:paraId="1392BF74" w14:textId="133380E4" w:rsidR="00FB5257" w:rsidRPr="00091A2E" w:rsidRDefault="00FB5257" w:rsidP="005A3DEA">
      <w:pPr>
        <w:rPr>
          <w:rFonts w:cs="Times New Roman"/>
          <w:sz w:val="22"/>
          <w:szCs w:val="22"/>
        </w:rPr>
      </w:pPr>
      <w:proofErr w:type="spellStart"/>
      <w:r w:rsidRPr="00091A2E">
        <w:rPr>
          <w:rFonts w:cs="Times New Roman"/>
          <w:sz w:val="22"/>
          <w:szCs w:val="22"/>
        </w:rPr>
        <w:t>Jurmain</w:t>
      </w:r>
      <w:proofErr w:type="spellEnd"/>
      <w:r w:rsidRPr="00091A2E">
        <w:rPr>
          <w:rFonts w:cs="Times New Roman"/>
          <w:sz w:val="22"/>
          <w:szCs w:val="22"/>
        </w:rPr>
        <w:t xml:space="preserve">, R.D. and Kilgore, L. 1995: ‘Skeletal evidence of osteoarthritis: a palaeopathological perspective’, </w:t>
      </w:r>
      <w:r w:rsidRPr="00091A2E">
        <w:rPr>
          <w:rFonts w:cs="Times New Roman"/>
          <w:i/>
          <w:iCs/>
          <w:sz w:val="22"/>
          <w:szCs w:val="22"/>
        </w:rPr>
        <w:t>Annuals of the Rheumatic Diseases</w:t>
      </w:r>
      <w:r w:rsidRPr="00091A2E">
        <w:rPr>
          <w:rFonts w:cs="Times New Roman"/>
          <w:sz w:val="22"/>
          <w:szCs w:val="22"/>
        </w:rPr>
        <w:t xml:space="preserve"> 54, 443–50</w:t>
      </w:r>
    </w:p>
    <w:p w14:paraId="7740FF65" w14:textId="77777777" w:rsidR="00FB5257" w:rsidRPr="00091A2E" w:rsidRDefault="00FB5257" w:rsidP="00B54EFE">
      <w:pPr>
        <w:rPr>
          <w:sz w:val="22"/>
          <w:szCs w:val="22"/>
        </w:rPr>
      </w:pPr>
    </w:p>
    <w:p w14:paraId="386B67D0" w14:textId="5CB6A9E9" w:rsidR="00FB5257" w:rsidRPr="00091A2E" w:rsidRDefault="00FB5257" w:rsidP="005A3DEA">
      <w:pPr>
        <w:rPr>
          <w:rFonts w:cs="Times New Roman"/>
          <w:sz w:val="22"/>
          <w:szCs w:val="22"/>
        </w:rPr>
      </w:pPr>
      <w:r w:rsidRPr="00091A2E">
        <w:rPr>
          <w:rFonts w:cs="Times New Roman"/>
          <w:sz w:val="22"/>
          <w:szCs w:val="22"/>
        </w:rPr>
        <w:t xml:space="preserve">May, S.E. 2011: ‘The effects of body mass on cremation weight’, </w:t>
      </w:r>
      <w:r w:rsidRPr="00091A2E">
        <w:rPr>
          <w:rFonts w:cs="Times New Roman"/>
          <w:i/>
          <w:iCs/>
          <w:sz w:val="22"/>
          <w:szCs w:val="22"/>
        </w:rPr>
        <w:t>Journal of Forensic Sciences</w:t>
      </w:r>
      <w:r w:rsidRPr="00091A2E">
        <w:rPr>
          <w:rFonts w:cs="Times New Roman"/>
          <w:sz w:val="22"/>
          <w:szCs w:val="22"/>
        </w:rPr>
        <w:t xml:space="preserve"> 56.1, 3–9</w:t>
      </w:r>
    </w:p>
    <w:p w14:paraId="70A1CED5" w14:textId="77777777" w:rsidR="00FB5257" w:rsidRPr="00091A2E" w:rsidRDefault="00FB5257" w:rsidP="00B54EFE">
      <w:pPr>
        <w:rPr>
          <w:sz w:val="22"/>
          <w:szCs w:val="22"/>
        </w:rPr>
      </w:pPr>
    </w:p>
    <w:p w14:paraId="173FF80F" w14:textId="58D3A22C" w:rsidR="00B54EFE" w:rsidRPr="00091A2E" w:rsidRDefault="00B54EFE" w:rsidP="005A3DEA">
      <w:pPr>
        <w:rPr>
          <w:rFonts w:cs="Times New Roman"/>
          <w:sz w:val="22"/>
          <w:szCs w:val="22"/>
        </w:rPr>
      </w:pPr>
      <w:r w:rsidRPr="00091A2E">
        <w:rPr>
          <w:rFonts w:cs="Times New Roman"/>
          <w:sz w:val="22"/>
          <w:szCs w:val="22"/>
        </w:rPr>
        <w:t xml:space="preserve">McKinley, J.I 1993: ‘Bone fragment size and weights of bone from modern British cremation and the implication for the interpretation of archaeological cremations’, </w:t>
      </w:r>
      <w:r w:rsidRPr="00091A2E">
        <w:rPr>
          <w:rFonts w:cs="Times New Roman"/>
          <w:i/>
          <w:iCs/>
          <w:sz w:val="22"/>
          <w:szCs w:val="22"/>
        </w:rPr>
        <w:t xml:space="preserve">International Journal of </w:t>
      </w:r>
      <w:proofErr w:type="spellStart"/>
      <w:r w:rsidRPr="00091A2E">
        <w:rPr>
          <w:rFonts w:cs="Times New Roman"/>
          <w:i/>
          <w:iCs/>
          <w:sz w:val="22"/>
          <w:szCs w:val="22"/>
        </w:rPr>
        <w:t>Ostearchaeology</w:t>
      </w:r>
      <w:proofErr w:type="spellEnd"/>
      <w:r w:rsidRPr="00091A2E">
        <w:rPr>
          <w:rFonts w:cs="Times New Roman"/>
          <w:sz w:val="22"/>
          <w:szCs w:val="22"/>
        </w:rPr>
        <w:t xml:space="preserve"> 3, 283–7</w:t>
      </w:r>
    </w:p>
    <w:p w14:paraId="2EE6C937" w14:textId="77777777" w:rsidR="00B54EFE" w:rsidRPr="00091A2E" w:rsidRDefault="00B54EFE" w:rsidP="00B54EFE">
      <w:pPr>
        <w:rPr>
          <w:sz w:val="22"/>
          <w:szCs w:val="22"/>
        </w:rPr>
      </w:pPr>
    </w:p>
    <w:p w14:paraId="47E98FBD" w14:textId="4A0159FC" w:rsidR="00B54EFE" w:rsidRPr="00091A2E" w:rsidRDefault="00B54EFE" w:rsidP="00B54EFE">
      <w:pPr>
        <w:rPr>
          <w:rFonts w:cs="Times New Roman"/>
          <w:sz w:val="22"/>
          <w:szCs w:val="22"/>
        </w:rPr>
      </w:pPr>
      <w:r w:rsidRPr="00091A2E">
        <w:rPr>
          <w:rFonts w:cs="Times New Roman"/>
          <w:sz w:val="22"/>
          <w:szCs w:val="22"/>
        </w:rPr>
        <w:t xml:space="preserve">McKinley, J.I. 1994: ‘A pyre and grave goods in British cremation burials; have we missed something?’, </w:t>
      </w:r>
      <w:r w:rsidRPr="00091A2E">
        <w:rPr>
          <w:rFonts w:cs="Times New Roman"/>
          <w:i/>
          <w:iCs/>
          <w:sz w:val="22"/>
          <w:szCs w:val="22"/>
        </w:rPr>
        <w:t>Antiquity</w:t>
      </w:r>
      <w:r w:rsidRPr="00091A2E">
        <w:rPr>
          <w:rFonts w:cs="Times New Roman"/>
          <w:sz w:val="22"/>
          <w:szCs w:val="22"/>
        </w:rPr>
        <w:t xml:space="preserve"> 68.258, 132–4</w:t>
      </w:r>
    </w:p>
    <w:p w14:paraId="0A3CA373" w14:textId="7D43CB8D" w:rsidR="00B54EFE" w:rsidRPr="00091A2E" w:rsidRDefault="00B54EFE" w:rsidP="00B54EFE">
      <w:pPr>
        <w:rPr>
          <w:rFonts w:cs="Times New Roman"/>
          <w:sz w:val="22"/>
          <w:szCs w:val="22"/>
        </w:rPr>
      </w:pPr>
    </w:p>
    <w:p w14:paraId="2CE4CD52" w14:textId="3BB3FA88" w:rsidR="00FB5257" w:rsidRPr="00091A2E" w:rsidRDefault="00FB5257" w:rsidP="005A3DEA">
      <w:pPr>
        <w:rPr>
          <w:rFonts w:cs="Times New Roman"/>
          <w:sz w:val="22"/>
          <w:szCs w:val="22"/>
        </w:rPr>
      </w:pPr>
      <w:r w:rsidRPr="00091A2E">
        <w:rPr>
          <w:rFonts w:cs="Times New Roman"/>
          <w:sz w:val="22"/>
          <w:szCs w:val="22"/>
        </w:rPr>
        <w:t xml:space="preserve">McKinley, J.I. 2018: ‘Compiling a skeletal inventory: cremated human bone’, in P.D. Mitchell and M. Brickley (eds), </w:t>
      </w:r>
      <w:r w:rsidRPr="00091A2E">
        <w:rPr>
          <w:rFonts w:cs="Times New Roman"/>
          <w:i/>
          <w:iCs/>
          <w:sz w:val="22"/>
          <w:szCs w:val="22"/>
        </w:rPr>
        <w:t>Updated Guidelines to the Standards for Recording Human Remains</w:t>
      </w:r>
      <w:r w:rsidRPr="00091A2E">
        <w:rPr>
          <w:rFonts w:cs="Times New Roman"/>
          <w:sz w:val="22"/>
          <w:szCs w:val="22"/>
        </w:rPr>
        <w:t>, 14–19</w:t>
      </w:r>
    </w:p>
    <w:p w14:paraId="4968C156" w14:textId="77777777" w:rsidR="00FB5257" w:rsidRPr="00091A2E" w:rsidRDefault="00FB5257" w:rsidP="00B54EFE">
      <w:pPr>
        <w:rPr>
          <w:rFonts w:cs="Times New Roman"/>
          <w:sz w:val="22"/>
          <w:szCs w:val="22"/>
        </w:rPr>
      </w:pPr>
    </w:p>
    <w:p w14:paraId="659D6088" w14:textId="5265C0B7" w:rsidR="00B54EFE" w:rsidRPr="00091A2E" w:rsidRDefault="00B54EFE" w:rsidP="005A3DEA">
      <w:pPr>
        <w:rPr>
          <w:rFonts w:cs="Times New Roman"/>
          <w:sz w:val="22"/>
          <w:szCs w:val="22"/>
        </w:rPr>
      </w:pPr>
      <w:r w:rsidRPr="00091A2E">
        <w:rPr>
          <w:rFonts w:cs="Times New Roman"/>
          <w:sz w:val="22"/>
          <w:szCs w:val="22"/>
        </w:rPr>
        <w:t xml:space="preserve">Mitchell, P.D. and Brickley, M. 2018: </w:t>
      </w:r>
      <w:r w:rsidRPr="00091A2E">
        <w:rPr>
          <w:rFonts w:cs="Times New Roman"/>
          <w:i/>
          <w:iCs/>
          <w:sz w:val="22"/>
          <w:szCs w:val="22"/>
        </w:rPr>
        <w:t>Updated Guidelines to the Standards for Recording Human Remains</w:t>
      </w:r>
      <w:r w:rsidRPr="00091A2E">
        <w:rPr>
          <w:rFonts w:cs="Times New Roman"/>
          <w:sz w:val="22"/>
          <w:szCs w:val="22"/>
        </w:rPr>
        <w:t>, Chartered Institute for Archaeologists, BABAO, Reading</w:t>
      </w:r>
    </w:p>
    <w:p w14:paraId="7EB40209" w14:textId="77777777" w:rsidR="00B54EFE" w:rsidRPr="00091A2E" w:rsidRDefault="00B54EFE" w:rsidP="00B54EFE">
      <w:pPr>
        <w:rPr>
          <w:rFonts w:cs="Times New Roman"/>
          <w:sz w:val="22"/>
          <w:szCs w:val="22"/>
        </w:rPr>
      </w:pPr>
    </w:p>
    <w:p w14:paraId="2444C99A" w14:textId="5AC42224" w:rsidR="00B54EFE" w:rsidRPr="00091A2E" w:rsidRDefault="00B54EFE" w:rsidP="005A3DEA">
      <w:pPr>
        <w:rPr>
          <w:rFonts w:cs="Times New Roman"/>
          <w:sz w:val="22"/>
          <w:szCs w:val="22"/>
        </w:rPr>
      </w:pPr>
      <w:r w:rsidRPr="00091A2E">
        <w:rPr>
          <w:rFonts w:cs="Times New Roman"/>
          <w:sz w:val="22"/>
          <w:szCs w:val="22"/>
        </w:rPr>
        <w:t xml:space="preserve">Pearce, J. 2013: </w:t>
      </w:r>
      <w:r w:rsidRPr="00091A2E">
        <w:rPr>
          <w:rFonts w:cs="Times New Roman"/>
          <w:i/>
          <w:iCs/>
          <w:sz w:val="22"/>
          <w:szCs w:val="22"/>
        </w:rPr>
        <w:t>Contextual Archaeology of Burial Practice: Case Studies from Roman Britain</w:t>
      </w:r>
      <w:r w:rsidRPr="00091A2E">
        <w:rPr>
          <w:rFonts w:cs="Times New Roman"/>
          <w:sz w:val="22"/>
          <w:szCs w:val="22"/>
        </w:rPr>
        <w:t>, Oxford</w:t>
      </w:r>
    </w:p>
    <w:p w14:paraId="3BA2DF98" w14:textId="235CBCF6" w:rsidR="00FB5257" w:rsidRPr="00091A2E" w:rsidRDefault="00FB5257" w:rsidP="00FB5257">
      <w:pPr>
        <w:ind w:left="284" w:hanging="284"/>
        <w:rPr>
          <w:rStyle w:val="mark45rzct8d6"/>
          <w:rFonts w:cs="Times New Roman"/>
          <w:color w:val="000000"/>
          <w:sz w:val="22"/>
          <w:szCs w:val="22"/>
          <w:bdr w:val="none" w:sz="0" w:space="0" w:color="auto" w:frame="1"/>
          <w:shd w:val="clear" w:color="auto" w:fill="FFFFFF"/>
        </w:rPr>
      </w:pPr>
    </w:p>
    <w:p w14:paraId="37C9EBC1" w14:textId="013D09E2" w:rsidR="00FB5257" w:rsidRPr="00091A2E" w:rsidRDefault="00FB5257" w:rsidP="00FB5257">
      <w:pPr>
        <w:pStyle w:val="BodyText"/>
        <w:spacing w:after="0"/>
        <w:ind w:left="284" w:hanging="284"/>
        <w:rPr>
          <w:rStyle w:val="mark45rzct8d6"/>
          <w:rFonts w:cs="Times New Roman"/>
          <w:sz w:val="22"/>
          <w:szCs w:val="22"/>
        </w:rPr>
      </w:pPr>
      <w:r w:rsidRPr="00091A2E">
        <w:rPr>
          <w:rFonts w:cs="Times New Roman"/>
          <w:sz w:val="22"/>
          <w:szCs w:val="22"/>
        </w:rPr>
        <w:t>Roberts, C. and Manche</w:t>
      </w:r>
      <w:r w:rsidR="006B4FDC">
        <w:rPr>
          <w:rFonts w:cs="Times New Roman"/>
          <w:sz w:val="22"/>
          <w:szCs w:val="22"/>
        </w:rPr>
        <w:t>s</w:t>
      </w:r>
      <w:r w:rsidRPr="00091A2E">
        <w:rPr>
          <w:rFonts w:cs="Times New Roman"/>
          <w:sz w:val="22"/>
          <w:szCs w:val="22"/>
        </w:rPr>
        <w:t xml:space="preserve">ter, K. 2010: </w:t>
      </w:r>
      <w:r w:rsidRPr="00091A2E">
        <w:rPr>
          <w:rFonts w:cs="Times New Roman"/>
          <w:i/>
          <w:iCs/>
          <w:sz w:val="22"/>
          <w:szCs w:val="22"/>
        </w:rPr>
        <w:t>Archaeology of Disease</w:t>
      </w:r>
      <w:r w:rsidRPr="00091A2E">
        <w:rPr>
          <w:rFonts w:cs="Times New Roman"/>
          <w:sz w:val="22"/>
          <w:szCs w:val="22"/>
        </w:rPr>
        <w:t xml:space="preserve">, </w:t>
      </w:r>
      <w:r w:rsidR="006B4FDC">
        <w:rPr>
          <w:rFonts w:cs="Times New Roman"/>
          <w:sz w:val="22"/>
          <w:szCs w:val="22"/>
        </w:rPr>
        <w:t>Stroud</w:t>
      </w:r>
    </w:p>
    <w:p w14:paraId="6142BAB5" w14:textId="77777777" w:rsidR="00FB5257" w:rsidRPr="00091A2E" w:rsidRDefault="00FB5257" w:rsidP="00FB5257">
      <w:pPr>
        <w:ind w:left="284" w:hanging="284"/>
        <w:rPr>
          <w:rStyle w:val="mark45rzct8d6"/>
          <w:rFonts w:cs="Times New Roman"/>
          <w:color w:val="000000"/>
          <w:sz w:val="22"/>
          <w:szCs w:val="22"/>
          <w:bdr w:val="none" w:sz="0" w:space="0" w:color="auto" w:frame="1"/>
          <w:shd w:val="clear" w:color="auto" w:fill="FFFFFF"/>
        </w:rPr>
      </w:pPr>
    </w:p>
    <w:p w14:paraId="72689E10" w14:textId="77777777" w:rsidR="00FB5257" w:rsidRPr="00091A2E" w:rsidRDefault="00FB5257" w:rsidP="005A3DEA">
      <w:pPr>
        <w:rPr>
          <w:rFonts w:cs="Times New Roman"/>
          <w:sz w:val="22"/>
          <w:szCs w:val="22"/>
        </w:rPr>
      </w:pPr>
      <w:r w:rsidRPr="00091A2E">
        <w:rPr>
          <w:rFonts w:cs="Times New Roman"/>
          <w:sz w:val="22"/>
          <w:szCs w:val="22"/>
        </w:rPr>
        <w:t xml:space="preserve">Ward, S.M and </w:t>
      </w:r>
      <w:proofErr w:type="spellStart"/>
      <w:r w:rsidRPr="00091A2E">
        <w:rPr>
          <w:rFonts w:cs="Times New Roman"/>
          <w:sz w:val="22"/>
          <w:szCs w:val="22"/>
        </w:rPr>
        <w:t>Tayles</w:t>
      </w:r>
      <w:proofErr w:type="spellEnd"/>
      <w:r w:rsidRPr="00091A2E">
        <w:rPr>
          <w:rFonts w:cs="Times New Roman"/>
          <w:sz w:val="22"/>
          <w:szCs w:val="22"/>
        </w:rPr>
        <w:t xml:space="preserve">, N. 2015: ‘The use of ethnographic information in cremation studies: a southeast Asian example’, in C.W. Schmidt and S.A. Symes (eds), </w:t>
      </w:r>
      <w:r w:rsidRPr="00091A2E">
        <w:rPr>
          <w:rFonts w:cs="Times New Roman"/>
          <w:i/>
          <w:iCs/>
          <w:sz w:val="22"/>
          <w:szCs w:val="22"/>
        </w:rPr>
        <w:t>The Analysis of Burned Human Remains</w:t>
      </w:r>
      <w:r w:rsidRPr="00091A2E">
        <w:rPr>
          <w:rFonts w:cs="Times New Roman"/>
          <w:sz w:val="22"/>
          <w:szCs w:val="22"/>
        </w:rPr>
        <w:t>, Oxford, 381–402</w:t>
      </w:r>
    </w:p>
    <w:p w14:paraId="315EB4F1" w14:textId="77777777" w:rsidR="00B54EFE" w:rsidRPr="00091A2E" w:rsidRDefault="00B54EFE" w:rsidP="00B54EFE">
      <w:pPr>
        <w:ind w:left="284" w:hanging="284"/>
        <w:rPr>
          <w:rFonts w:cs="Times New Roman"/>
          <w:sz w:val="22"/>
          <w:szCs w:val="22"/>
        </w:rPr>
      </w:pPr>
    </w:p>
    <w:p w14:paraId="1CA14FCC" w14:textId="77777777" w:rsidR="00B54EFE" w:rsidRPr="00091A2E" w:rsidRDefault="00B54EFE" w:rsidP="00B54EFE">
      <w:pPr>
        <w:ind w:left="284" w:hanging="284"/>
        <w:rPr>
          <w:rFonts w:cs="Times New Roman"/>
          <w:sz w:val="22"/>
          <w:szCs w:val="22"/>
        </w:rPr>
      </w:pPr>
      <w:r w:rsidRPr="00091A2E">
        <w:rPr>
          <w:rFonts w:cs="Times New Roman"/>
          <w:sz w:val="22"/>
          <w:szCs w:val="22"/>
        </w:rPr>
        <w:t xml:space="preserve">Wells, C. 1960: ‘A study of cremation’, </w:t>
      </w:r>
      <w:r w:rsidRPr="00091A2E">
        <w:rPr>
          <w:rFonts w:cs="Times New Roman"/>
          <w:i/>
          <w:iCs/>
          <w:sz w:val="22"/>
          <w:szCs w:val="22"/>
        </w:rPr>
        <w:t>Antiquity</w:t>
      </w:r>
      <w:r w:rsidRPr="00091A2E">
        <w:rPr>
          <w:rFonts w:cs="Times New Roman"/>
          <w:sz w:val="22"/>
          <w:szCs w:val="22"/>
        </w:rPr>
        <w:t xml:space="preserve"> 34.133, 29–37</w:t>
      </w:r>
    </w:p>
    <w:p w14:paraId="04C8BE9A" w14:textId="1868B2DD" w:rsidR="00B54EFE" w:rsidRPr="00091A2E" w:rsidRDefault="00B54EFE" w:rsidP="00B54EFE">
      <w:pPr>
        <w:rPr>
          <w:rFonts w:cs="Times New Roman"/>
          <w:sz w:val="22"/>
          <w:szCs w:val="22"/>
        </w:rPr>
      </w:pPr>
    </w:p>
    <w:p w14:paraId="43655AC2" w14:textId="1DB0C50C" w:rsidR="00FB5257" w:rsidRPr="00091A2E" w:rsidRDefault="00FB5257" w:rsidP="005A3DEA">
      <w:pPr>
        <w:rPr>
          <w:rFonts w:cs="Times New Roman"/>
          <w:sz w:val="22"/>
          <w:szCs w:val="22"/>
        </w:rPr>
      </w:pPr>
      <w:r w:rsidRPr="00091A2E">
        <w:rPr>
          <w:rFonts w:cs="Times New Roman"/>
          <w:sz w:val="22"/>
          <w:szCs w:val="22"/>
        </w:rPr>
        <w:t>White, N.C.C. 2007: ‘Catering for the cultural identities of the deceased in Roman Britain: interpretative potential and problems’, in B. Croxford</w:t>
      </w:r>
      <w:r w:rsidR="006B4FDC">
        <w:rPr>
          <w:rFonts w:cs="Times New Roman"/>
          <w:sz w:val="22"/>
          <w:szCs w:val="22"/>
        </w:rPr>
        <w:t>,</w:t>
      </w:r>
      <w:r w:rsidRPr="00091A2E">
        <w:rPr>
          <w:rFonts w:cs="Times New Roman"/>
          <w:sz w:val="22"/>
          <w:szCs w:val="22"/>
        </w:rPr>
        <w:t xml:space="preserve"> N. Ray, R. Roth</w:t>
      </w:r>
      <w:r w:rsidR="006B4FDC">
        <w:rPr>
          <w:rFonts w:cs="Times New Roman"/>
          <w:sz w:val="22"/>
          <w:szCs w:val="22"/>
        </w:rPr>
        <w:t xml:space="preserve"> </w:t>
      </w:r>
      <w:r w:rsidRPr="00091A2E">
        <w:rPr>
          <w:rFonts w:cs="Times New Roman"/>
          <w:sz w:val="22"/>
          <w:szCs w:val="22"/>
        </w:rPr>
        <w:t xml:space="preserve">and N. White (eds), </w:t>
      </w:r>
      <w:r w:rsidRPr="00091A2E">
        <w:rPr>
          <w:rFonts w:cs="Times New Roman"/>
          <w:i/>
          <w:iCs/>
          <w:sz w:val="22"/>
          <w:szCs w:val="22"/>
        </w:rPr>
        <w:t>TRAC 2006: Proceedings of the Sixteenth Annual Theoretical Roman Archaeology Conference, Cambridge 2006</w:t>
      </w:r>
      <w:r w:rsidRPr="00091A2E">
        <w:rPr>
          <w:rFonts w:cs="Times New Roman"/>
          <w:sz w:val="22"/>
          <w:szCs w:val="22"/>
        </w:rPr>
        <w:t>, Oxford, 115–32</w:t>
      </w:r>
    </w:p>
    <w:p w14:paraId="0A503DF3" w14:textId="77777777" w:rsidR="00FB5257" w:rsidRPr="00091A2E" w:rsidRDefault="00FB5257" w:rsidP="00B54EFE">
      <w:pPr>
        <w:rPr>
          <w:rFonts w:cs="Times New Roman"/>
          <w:sz w:val="22"/>
          <w:szCs w:val="22"/>
        </w:rPr>
      </w:pPr>
    </w:p>
    <w:p w14:paraId="471F14BB" w14:textId="21841BB4" w:rsidR="00B54EFE" w:rsidRPr="00091A2E" w:rsidRDefault="00B54EFE" w:rsidP="005A3DEA">
      <w:pPr>
        <w:rPr>
          <w:rFonts w:cs="Times New Roman"/>
          <w:sz w:val="22"/>
          <w:szCs w:val="22"/>
        </w:rPr>
      </w:pPr>
      <w:r w:rsidRPr="00091A2E">
        <w:rPr>
          <w:rFonts w:cs="Times New Roman"/>
          <w:sz w:val="22"/>
          <w:szCs w:val="22"/>
        </w:rPr>
        <w:t xml:space="preserve">Williams, H. 2008: ‘Towards an archaeology of cremation’, in C.W. Schmidt and S. Symes (eds), </w:t>
      </w:r>
      <w:r w:rsidRPr="00091A2E">
        <w:rPr>
          <w:rFonts w:cs="Times New Roman"/>
          <w:i/>
          <w:iCs/>
          <w:sz w:val="22"/>
          <w:szCs w:val="22"/>
        </w:rPr>
        <w:t xml:space="preserve">The </w:t>
      </w:r>
      <w:r w:rsidRPr="00091A2E">
        <w:rPr>
          <w:rFonts w:cs="Times New Roman"/>
          <w:i/>
          <w:iCs/>
          <w:sz w:val="22"/>
          <w:szCs w:val="22"/>
        </w:rPr>
        <w:lastRenderedPageBreak/>
        <w:t>Analysis of Burned Human Bone</w:t>
      </w:r>
      <w:r w:rsidRPr="00091A2E">
        <w:rPr>
          <w:rFonts w:cs="Times New Roman"/>
          <w:sz w:val="22"/>
          <w:szCs w:val="22"/>
        </w:rPr>
        <w:t>, London, 239–69</w:t>
      </w:r>
    </w:p>
    <w:p w14:paraId="534367B0" w14:textId="77777777" w:rsidR="00B54EFE" w:rsidRPr="00A1167D" w:rsidRDefault="00B54EFE" w:rsidP="00B54EFE">
      <w:pPr>
        <w:rPr>
          <w:rFonts w:cs="Times New Roman"/>
        </w:rPr>
      </w:pPr>
    </w:p>
    <w:p w14:paraId="724E23D9" w14:textId="77777777" w:rsidR="00031CC4" w:rsidRDefault="00031CC4"/>
    <w:sectPr w:rsidR="00031CC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6120" w14:textId="77777777" w:rsidR="001A393E" w:rsidRDefault="001A393E" w:rsidP="00FC7958">
      <w:r>
        <w:separator/>
      </w:r>
    </w:p>
  </w:endnote>
  <w:endnote w:type="continuationSeparator" w:id="0">
    <w:p w14:paraId="47F8BAB2" w14:textId="77777777" w:rsidR="001A393E" w:rsidRDefault="001A393E" w:rsidP="00FC7958">
      <w:r>
        <w:continuationSeparator/>
      </w:r>
    </w:p>
  </w:endnote>
  <w:endnote w:id="1">
    <w:p w14:paraId="5389CB3A" w14:textId="77777777" w:rsidR="00B54EFE" w:rsidRDefault="00B54EFE" w:rsidP="00FC7958">
      <w:pPr>
        <w:pStyle w:val="EndnoteText"/>
      </w:pPr>
      <w:r>
        <w:rPr>
          <w:rStyle w:val="EndnoteReference"/>
        </w:rPr>
        <w:endnoteRef/>
      </w:r>
      <w:r>
        <w:t xml:space="preserve"> Eckardt </w:t>
      </w:r>
      <w:r w:rsidRPr="00F33F9B">
        <w:rPr>
          <w:i/>
          <w:iCs/>
        </w:rPr>
        <w:t>et al</w:t>
      </w:r>
      <w:r>
        <w:rPr>
          <w:i/>
          <w:iCs/>
        </w:rPr>
        <w:t>.</w:t>
      </w:r>
      <w:r>
        <w:t xml:space="preserve"> forthcoming.</w:t>
      </w:r>
    </w:p>
  </w:endnote>
  <w:endnote w:id="2">
    <w:p w14:paraId="684664E2" w14:textId="77777777" w:rsidR="00B54EFE" w:rsidRDefault="00B54EFE" w:rsidP="00FC7958">
      <w:pPr>
        <w:pStyle w:val="EndnoteText"/>
      </w:pPr>
      <w:r>
        <w:rPr>
          <w:rStyle w:val="EndnoteReference"/>
        </w:rPr>
        <w:endnoteRef/>
      </w:r>
      <w:r>
        <w:t xml:space="preserve"> McKinley 1994.</w:t>
      </w:r>
    </w:p>
  </w:endnote>
  <w:endnote w:id="3">
    <w:p w14:paraId="6F9912C2" w14:textId="0B7B0B8F" w:rsidR="00B54EFE" w:rsidRDefault="00B54EFE" w:rsidP="00FC7958">
      <w:pPr>
        <w:pStyle w:val="EndnoteText"/>
      </w:pPr>
      <w:r>
        <w:rPr>
          <w:rStyle w:val="EndnoteReference"/>
        </w:rPr>
        <w:endnoteRef/>
      </w:r>
      <w:r>
        <w:t xml:space="preserve"> </w:t>
      </w:r>
      <w:r w:rsidR="007676AC" w:rsidRPr="00764CC6">
        <w:t>Wells</w:t>
      </w:r>
      <w:r w:rsidR="007676AC">
        <w:t xml:space="preserve"> 1960; </w:t>
      </w:r>
      <w:r>
        <w:t>Williams 2008, 259</w:t>
      </w:r>
      <w:r w:rsidRPr="00764CC6">
        <w:t xml:space="preserve">; Pearce 2013; </w:t>
      </w:r>
      <w:r>
        <w:t>Carroll 2019.</w:t>
      </w:r>
    </w:p>
  </w:endnote>
  <w:endnote w:id="4">
    <w:p w14:paraId="5E718274" w14:textId="77777777" w:rsidR="00B54EFE" w:rsidRDefault="00B54EFE" w:rsidP="00FC7958">
      <w:pPr>
        <w:pStyle w:val="EndnoteText"/>
      </w:pPr>
      <w:r>
        <w:rPr>
          <w:rStyle w:val="EndnoteReference"/>
        </w:rPr>
        <w:endnoteRef/>
      </w:r>
      <w:r>
        <w:t xml:space="preserve">  Brickley and McKinley 2004; Mitchell and Brickley 2018.</w:t>
      </w:r>
    </w:p>
  </w:endnote>
  <w:endnote w:id="5">
    <w:p w14:paraId="43A67E39" w14:textId="77777777" w:rsidR="00B54EFE" w:rsidRDefault="00B54EFE" w:rsidP="00FC7958">
      <w:pPr>
        <w:pStyle w:val="EndnoteText"/>
      </w:pPr>
      <w:r>
        <w:rPr>
          <w:rStyle w:val="EndnoteReference"/>
        </w:rPr>
        <w:endnoteRef/>
      </w:r>
      <w:r>
        <w:t xml:space="preserve"> BABAO 2019a; </w:t>
      </w:r>
      <w:r w:rsidRPr="000257EE">
        <w:t>BABAO</w:t>
      </w:r>
      <w:r>
        <w:t xml:space="preserve"> 2019b.</w:t>
      </w:r>
    </w:p>
  </w:endnote>
  <w:endnote w:id="6">
    <w:p w14:paraId="654521A1" w14:textId="77777777" w:rsidR="00B54EFE" w:rsidRDefault="00B54EFE" w:rsidP="00FC7958">
      <w:pPr>
        <w:pStyle w:val="EndnoteText"/>
      </w:pPr>
      <w:r>
        <w:rPr>
          <w:rStyle w:val="EndnoteReference"/>
        </w:rPr>
        <w:endnoteRef/>
      </w:r>
      <w:r>
        <w:t xml:space="preserve"> McKinley 1993; May 2011; Ward and </w:t>
      </w:r>
      <w:proofErr w:type="spellStart"/>
      <w:r>
        <w:t>Tayles</w:t>
      </w:r>
      <w:proofErr w:type="spellEnd"/>
      <w:r>
        <w:t xml:space="preserve"> 2015.</w:t>
      </w:r>
    </w:p>
  </w:endnote>
  <w:endnote w:id="7">
    <w:p w14:paraId="2827FDEC" w14:textId="77777777" w:rsidR="00B54EFE" w:rsidRDefault="00B54EFE" w:rsidP="00FC7958">
      <w:pPr>
        <w:pStyle w:val="EndnoteText"/>
      </w:pPr>
      <w:r>
        <w:rPr>
          <w:rStyle w:val="EndnoteReference"/>
        </w:rPr>
        <w:endnoteRef/>
      </w:r>
      <w:r>
        <w:t xml:space="preserve"> Ellingham </w:t>
      </w:r>
      <w:r w:rsidRPr="00F33F9B">
        <w:rPr>
          <w:i/>
          <w:iCs/>
        </w:rPr>
        <w:t>et al</w:t>
      </w:r>
      <w:r>
        <w:t>. 2015.</w:t>
      </w:r>
    </w:p>
  </w:endnote>
  <w:endnote w:id="8">
    <w:p w14:paraId="214517CF" w14:textId="77777777" w:rsidR="00B54EFE" w:rsidRDefault="00B54EFE" w:rsidP="00FC7958">
      <w:pPr>
        <w:pStyle w:val="EndnoteText"/>
      </w:pPr>
      <w:r>
        <w:rPr>
          <w:rStyle w:val="EndnoteReference"/>
        </w:rPr>
        <w:endnoteRef/>
      </w:r>
      <w:r>
        <w:t xml:space="preserve"> Crummy and Loughton 2022, 5-7; Eckardt </w:t>
      </w:r>
      <w:r w:rsidRPr="00F33F9B">
        <w:rPr>
          <w:i/>
          <w:iCs/>
        </w:rPr>
        <w:t>et al</w:t>
      </w:r>
      <w:r>
        <w:rPr>
          <w:i/>
          <w:iCs/>
        </w:rPr>
        <w:t>.</w:t>
      </w:r>
      <w:r>
        <w:t xml:space="preserve"> forthcoming.</w:t>
      </w:r>
    </w:p>
  </w:endnote>
  <w:endnote w:id="9">
    <w:p w14:paraId="72AF2834" w14:textId="77777777" w:rsidR="00B54EFE" w:rsidRDefault="00B54EFE" w:rsidP="00FC7958">
      <w:pPr>
        <w:pStyle w:val="EndnoteText"/>
      </w:pPr>
      <w:r>
        <w:rPr>
          <w:rStyle w:val="EndnoteReference"/>
        </w:rPr>
        <w:endnoteRef/>
      </w:r>
      <w:r>
        <w:t xml:space="preserve"> Carroll 2021.</w:t>
      </w:r>
    </w:p>
  </w:endnote>
  <w:endnote w:id="10">
    <w:p w14:paraId="44A64216" w14:textId="77777777" w:rsidR="00B54EFE" w:rsidRDefault="00B54EFE" w:rsidP="00FC7958">
      <w:pPr>
        <w:pStyle w:val="EndnoteText"/>
      </w:pPr>
      <w:r>
        <w:rPr>
          <w:rStyle w:val="EndnoteReference"/>
        </w:rPr>
        <w:endnoteRef/>
      </w:r>
      <w:r>
        <w:t xml:space="preserve"> </w:t>
      </w:r>
      <w:r w:rsidRPr="00237359">
        <w:t>Gon</w:t>
      </w:r>
      <w:r w:rsidRPr="00237359">
        <w:rPr>
          <w:rFonts w:cs="Calibri"/>
        </w:rPr>
        <w:t>ç</w:t>
      </w:r>
      <w:r w:rsidRPr="00237359">
        <w:t>alves</w:t>
      </w:r>
      <w:r>
        <w:t xml:space="preserve"> </w:t>
      </w:r>
      <w:r w:rsidRPr="00F33F9B">
        <w:rPr>
          <w:i/>
          <w:iCs/>
        </w:rPr>
        <w:t>et al</w:t>
      </w:r>
      <w:r>
        <w:rPr>
          <w:i/>
          <w:iCs/>
        </w:rPr>
        <w:t>.</w:t>
      </w:r>
      <w:r>
        <w:t xml:space="preserve"> 2013.</w:t>
      </w:r>
    </w:p>
  </w:endnote>
  <w:endnote w:id="11">
    <w:p w14:paraId="39420EC0" w14:textId="13028E96" w:rsidR="00B54EFE" w:rsidRDefault="00B54EFE" w:rsidP="00FC7958">
      <w:pPr>
        <w:pStyle w:val="EndnoteText"/>
      </w:pPr>
      <w:r w:rsidRPr="001E244E">
        <w:rPr>
          <w:rStyle w:val="EndnoteReference"/>
        </w:rPr>
        <w:endnoteRef/>
      </w:r>
      <w:r w:rsidRPr="001E244E">
        <w:t xml:space="preserve"> Br</w:t>
      </w:r>
      <w:r w:rsidR="006B4FDC">
        <w:rPr>
          <w:rFonts w:cs="Times New Roman"/>
        </w:rPr>
        <w:t>ü</w:t>
      </w:r>
      <w:r w:rsidRPr="001E244E">
        <w:t>ck 2014.</w:t>
      </w:r>
    </w:p>
  </w:endnote>
  <w:endnote w:id="12">
    <w:p w14:paraId="363C9D8A" w14:textId="77777777" w:rsidR="00B54EFE" w:rsidRDefault="00B54EFE" w:rsidP="00FC7958">
      <w:pPr>
        <w:pStyle w:val="EndnoteText"/>
      </w:pPr>
      <w:r>
        <w:rPr>
          <w:rStyle w:val="EndnoteReference"/>
        </w:rPr>
        <w:endnoteRef/>
      </w:r>
      <w:r>
        <w:t xml:space="preserve">  McKinley 2018, 14.</w:t>
      </w:r>
    </w:p>
  </w:endnote>
  <w:endnote w:id="13">
    <w:p w14:paraId="4E747D0A" w14:textId="77777777" w:rsidR="00B54EFE" w:rsidRDefault="00B54EFE" w:rsidP="00FC7958">
      <w:pPr>
        <w:pStyle w:val="EndnoteText"/>
      </w:pPr>
      <w:r>
        <w:rPr>
          <w:rStyle w:val="EndnoteReference"/>
        </w:rPr>
        <w:endnoteRef/>
      </w:r>
      <w:r>
        <w:t xml:space="preserve"> </w:t>
      </w:r>
      <w:proofErr w:type="spellStart"/>
      <w:r>
        <w:t>Jurmain</w:t>
      </w:r>
      <w:proofErr w:type="spellEnd"/>
      <w:r>
        <w:t xml:space="preserve"> and Kilgore 1995.</w:t>
      </w:r>
    </w:p>
  </w:endnote>
  <w:endnote w:id="14">
    <w:p w14:paraId="65EDD487" w14:textId="77777777" w:rsidR="00B54EFE" w:rsidRDefault="00B54EFE" w:rsidP="00FC7958">
      <w:pPr>
        <w:pStyle w:val="EndnoteText"/>
      </w:pPr>
      <w:r>
        <w:rPr>
          <w:rStyle w:val="EndnoteReference"/>
        </w:rPr>
        <w:endnoteRef/>
      </w:r>
      <w:r>
        <w:t xml:space="preserve"> </w:t>
      </w:r>
      <w:r w:rsidRPr="00262819">
        <w:t>Roberts and Manchester</w:t>
      </w:r>
      <w:r>
        <w:t xml:space="preserve"> </w:t>
      </w:r>
      <w:r w:rsidRPr="00262819">
        <w:t>2010</w:t>
      </w:r>
      <w:r>
        <w:t>.</w:t>
      </w:r>
    </w:p>
  </w:endnote>
  <w:endnote w:id="15">
    <w:p w14:paraId="6FFF2E75" w14:textId="77777777" w:rsidR="00B54EFE" w:rsidRDefault="00B54EFE" w:rsidP="00FC7958">
      <w:pPr>
        <w:pStyle w:val="EndnoteText"/>
      </w:pPr>
      <w:r>
        <w:rPr>
          <w:rStyle w:val="EndnoteReference"/>
        </w:rPr>
        <w:endnoteRef/>
      </w:r>
      <w:r>
        <w:t xml:space="preserve"> Brickley 2018.</w:t>
      </w:r>
    </w:p>
  </w:endnote>
  <w:endnote w:id="16">
    <w:p w14:paraId="69F7F189" w14:textId="6424CADC" w:rsidR="00B54EFE" w:rsidRDefault="00B54EFE" w:rsidP="00FC7958">
      <w:pPr>
        <w:pStyle w:val="EndnoteText"/>
      </w:pPr>
      <w:r>
        <w:rPr>
          <w:rStyle w:val="EndnoteReference"/>
        </w:rPr>
        <w:endnoteRef/>
      </w:r>
      <w:r>
        <w:t xml:space="preserve"> White 2007; </w:t>
      </w:r>
      <w:r w:rsidR="007676AC">
        <w:t xml:space="preserve">Burleigh and Fitzpatrick-Matthews 2010; </w:t>
      </w:r>
      <w:r>
        <w:t>Pearce 2013, 35 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5F01" w14:textId="77777777" w:rsidR="001A393E" w:rsidRDefault="001A393E" w:rsidP="00FC7958">
      <w:r>
        <w:separator/>
      </w:r>
    </w:p>
  </w:footnote>
  <w:footnote w:type="continuationSeparator" w:id="0">
    <w:p w14:paraId="5142802E" w14:textId="77777777" w:rsidR="001A393E" w:rsidRDefault="001A393E" w:rsidP="00FC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58"/>
    <w:rsid w:val="00006217"/>
    <w:rsid w:val="00031CC4"/>
    <w:rsid w:val="00091A2E"/>
    <w:rsid w:val="00185466"/>
    <w:rsid w:val="001A393E"/>
    <w:rsid w:val="001E244E"/>
    <w:rsid w:val="00237359"/>
    <w:rsid w:val="00251A49"/>
    <w:rsid w:val="002858DC"/>
    <w:rsid w:val="00304556"/>
    <w:rsid w:val="003335F3"/>
    <w:rsid w:val="003565CF"/>
    <w:rsid w:val="003B0BFD"/>
    <w:rsid w:val="003C4F5A"/>
    <w:rsid w:val="003E3E8E"/>
    <w:rsid w:val="003F2DA5"/>
    <w:rsid w:val="00455772"/>
    <w:rsid w:val="004C22CF"/>
    <w:rsid w:val="004E6884"/>
    <w:rsid w:val="00511F34"/>
    <w:rsid w:val="00532CA4"/>
    <w:rsid w:val="00593CCF"/>
    <w:rsid w:val="005A3DEA"/>
    <w:rsid w:val="005A6A37"/>
    <w:rsid w:val="005D6D1F"/>
    <w:rsid w:val="005E74EA"/>
    <w:rsid w:val="00603436"/>
    <w:rsid w:val="00651100"/>
    <w:rsid w:val="00664A9C"/>
    <w:rsid w:val="00670C15"/>
    <w:rsid w:val="006B4FDC"/>
    <w:rsid w:val="006D585A"/>
    <w:rsid w:val="00730056"/>
    <w:rsid w:val="007676AC"/>
    <w:rsid w:val="0079398B"/>
    <w:rsid w:val="00797922"/>
    <w:rsid w:val="007A6F5A"/>
    <w:rsid w:val="00850DE2"/>
    <w:rsid w:val="0096508F"/>
    <w:rsid w:val="00B54EFE"/>
    <w:rsid w:val="00B90BE0"/>
    <w:rsid w:val="00BA1B08"/>
    <w:rsid w:val="00C739B2"/>
    <w:rsid w:val="00D31B75"/>
    <w:rsid w:val="00D7509C"/>
    <w:rsid w:val="00E21E23"/>
    <w:rsid w:val="00E73DB3"/>
    <w:rsid w:val="00EF23AD"/>
    <w:rsid w:val="00F62E69"/>
    <w:rsid w:val="00FB5257"/>
    <w:rsid w:val="00FC7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2381"/>
  <w15:chartTrackingRefBased/>
  <w15:docId w15:val="{BB8EEDC4-A516-4C96-ABF5-2AFE582A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58"/>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C7958"/>
    <w:rPr>
      <w:vertAlign w:val="superscript"/>
    </w:rPr>
  </w:style>
  <w:style w:type="paragraph" w:styleId="FootnoteText">
    <w:name w:val="footnote text"/>
    <w:basedOn w:val="Normal"/>
    <w:link w:val="FootnoteTextChar"/>
    <w:uiPriority w:val="99"/>
    <w:rsid w:val="00FC7958"/>
    <w:pPr>
      <w:suppressLineNumbers/>
      <w:ind w:left="283" w:hanging="283"/>
    </w:pPr>
    <w:rPr>
      <w:sz w:val="20"/>
      <w:szCs w:val="20"/>
    </w:rPr>
  </w:style>
  <w:style w:type="character" w:customStyle="1" w:styleId="FootnoteTextChar">
    <w:name w:val="Footnote Text Char"/>
    <w:basedOn w:val="DefaultParagraphFont"/>
    <w:link w:val="FootnoteText"/>
    <w:uiPriority w:val="99"/>
    <w:rsid w:val="00FC7958"/>
    <w:rPr>
      <w:rFonts w:ascii="Times New Roman" w:eastAsia="SimSun" w:hAnsi="Times New Roman" w:cs="Arial"/>
      <w:kern w:val="1"/>
      <w:sz w:val="20"/>
      <w:szCs w:val="20"/>
      <w:lang w:eastAsia="hi-IN" w:bidi="hi-IN"/>
    </w:rPr>
  </w:style>
  <w:style w:type="paragraph" w:styleId="EndnoteText">
    <w:name w:val="endnote text"/>
    <w:basedOn w:val="Normal"/>
    <w:link w:val="EndnoteTextChar"/>
    <w:uiPriority w:val="99"/>
    <w:semiHidden/>
    <w:unhideWhenUsed/>
    <w:rsid w:val="00B54EFE"/>
    <w:rPr>
      <w:rFonts w:cs="Mangal"/>
      <w:sz w:val="20"/>
      <w:szCs w:val="18"/>
    </w:rPr>
  </w:style>
  <w:style w:type="character" w:customStyle="1" w:styleId="EndnoteTextChar">
    <w:name w:val="Endnote Text Char"/>
    <w:basedOn w:val="DefaultParagraphFont"/>
    <w:link w:val="EndnoteText"/>
    <w:uiPriority w:val="99"/>
    <w:semiHidden/>
    <w:rsid w:val="00B54EFE"/>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B54EFE"/>
    <w:rPr>
      <w:vertAlign w:val="superscript"/>
    </w:rPr>
  </w:style>
  <w:style w:type="paragraph" w:styleId="NormalWeb">
    <w:name w:val="Normal (Web)"/>
    <w:basedOn w:val="Normal"/>
    <w:rsid w:val="00B54EFE"/>
    <w:pPr>
      <w:widowControl/>
      <w:suppressAutoHyphens w:val="0"/>
      <w:autoSpaceDN w:val="0"/>
      <w:spacing w:before="100" w:after="100"/>
      <w:textAlignment w:val="baseline"/>
    </w:pPr>
    <w:rPr>
      <w:rFonts w:eastAsia="Times New Roman" w:cs="Times New Roman"/>
      <w:kern w:val="3"/>
      <w:lang w:eastAsia="zh-CN" w:bidi="ar-SA"/>
    </w:rPr>
  </w:style>
  <w:style w:type="character" w:styleId="Hyperlink">
    <w:name w:val="Hyperlink"/>
    <w:rsid w:val="00B54EFE"/>
    <w:rPr>
      <w:color w:val="000080"/>
      <w:u w:val="single"/>
    </w:rPr>
  </w:style>
  <w:style w:type="character" w:customStyle="1" w:styleId="mark45rzct8d6">
    <w:name w:val="mark45rzct8d6"/>
    <w:basedOn w:val="DefaultParagraphFont"/>
    <w:rsid w:val="00FB5257"/>
  </w:style>
  <w:style w:type="paragraph" w:styleId="BodyText">
    <w:name w:val="Body Text"/>
    <w:basedOn w:val="Normal"/>
    <w:link w:val="BodyTextChar"/>
    <w:rsid w:val="00FB5257"/>
    <w:pPr>
      <w:spacing w:after="120"/>
    </w:pPr>
  </w:style>
  <w:style w:type="character" w:customStyle="1" w:styleId="BodyTextChar">
    <w:name w:val="Body Text Char"/>
    <w:basedOn w:val="DefaultParagraphFont"/>
    <w:link w:val="BodyText"/>
    <w:rsid w:val="00FB5257"/>
    <w:rPr>
      <w:rFonts w:ascii="Times New Roman" w:eastAsia="SimSun" w:hAnsi="Times New Roman" w:cs="Arial"/>
      <w:kern w:val="1"/>
      <w:sz w:val="24"/>
      <w:szCs w:val="24"/>
      <w:lang w:eastAsia="hi-IN" w:bidi="hi-IN"/>
    </w:rPr>
  </w:style>
  <w:style w:type="paragraph" w:customStyle="1" w:styleId="Standard">
    <w:name w:val="Standard"/>
    <w:rsid w:val="005E74E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Revision">
    <w:name w:val="Revision"/>
    <w:hidden/>
    <w:uiPriority w:val="99"/>
    <w:semiHidden/>
    <w:rsid w:val="007676AC"/>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bao.org.uk/assets/Uploads/BABAO-Code-of-Practice-20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bao.org.uk/assets/Uploads/BABAO-Code-of-Ethics-201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 Davis</dc:creator>
  <cp:keywords/>
  <dc:description/>
  <cp:lastModifiedBy>John Pearce</cp:lastModifiedBy>
  <cp:revision>4</cp:revision>
  <dcterms:created xsi:type="dcterms:W3CDTF">2023-11-08T09:23:00Z</dcterms:created>
  <dcterms:modified xsi:type="dcterms:W3CDTF">2023-12-02T21:41:00Z</dcterms:modified>
</cp:coreProperties>
</file>